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REQUEST FOR QUOTATION</w:t>
      </w:r>
    </w:p>
    <w:p>
      <w:pPr>
        <w:spacing w:after="40"/>
      </w:pPr>
      <w:r>
        <w:rPr>
          <w:b/>
          <w:sz w:val="30"/>
        </w:rPr>
        <w:t>Network inventory and condition audit: field data capture</w:t>
      </w:r>
    </w:p>
    <w:p>
      <w:r>
        <w:rPr>
          <w:color w:val="595959"/>
          <w:sz w:val="20"/>
        </w:rPr>
        <w:t>Inner West Council RFT 47-26 Transport Assets Condition Audit &amp; Revaluations 2026/27  |  VendorPanel VP527819</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RFQ no.</w:t>
            </w:r>
          </w:p>
        </w:tc>
        <w:tc>
          <w:tcPr>
            <w:tcW w:type="dxa" w:w="6626"/>
          </w:tcPr>
          <w:p>
            <w:pPr>
              <w:spacing w:after="20"/>
            </w:pPr>
            <w:r/>
            <w:r>
              <w:rPr>
                <w:sz w:val="18"/>
              </w:rPr>
              <w:t>JCE-RFQ-VP527819-01 Rev D</w:t>
            </w:r>
          </w:p>
        </w:tc>
      </w:tr>
      <w:tr>
        <w:trPr>
          <w:cantSplit/>
        </w:trPr>
        <w:tc>
          <w:tcPr>
            <w:tcW w:type="dxa" w:w="3012"/>
            <w:shd w:val="clear" w:color="auto" w:fill="F3E9C6"/>
          </w:tcPr>
          <w:p>
            <w:r/>
            <w:r>
              <w:rPr>
                <w:b/>
                <w:sz w:val="18"/>
              </w:rPr>
              <w:t>To</w:t>
            </w:r>
          </w:p>
        </w:tc>
        <w:tc>
          <w:tcPr>
            <w:tcW w:type="dxa" w:w="6626"/>
          </w:tcPr>
          <w:p>
            <w:pPr>
              <w:spacing w:after="20"/>
            </w:pPr>
            <w:r/>
            <w:r>
              <w:rPr>
                <w:sz w:val="18"/>
              </w:rPr>
              <w:t>[Firm and contact name]</w:t>
            </w:r>
          </w:p>
        </w:tc>
      </w:tr>
      <w:tr>
        <w:trPr>
          <w:cantSplit/>
        </w:trPr>
        <w:tc>
          <w:tcPr>
            <w:tcW w:type="dxa" w:w="3012"/>
            <w:shd w:val="clear" w:color="auto" w:fill="F3E9C6"/>
          </w:tcPr>
          <w:p>
            <w:r/>
            <w:r>
              <w:rPr>
                <w:b/>
                <w:sz w:val="18"/>
              </w:rPr>
              <w:t>From</w:t>
            </w:r>
          </w:p>
        </w:tc>
        <w:tc>
          <w:tcPr>
            <w:tcW w:type="dxa" w:w="6626"/>
          </w:tcPr>
          <w:p>
            <w:pPr>
              <w:spacing w:after="20"/>
            </w:pPr>
            <w:r/>
            <w:r>
              <w:rPr>
                <w:sz w:val="18"/>
              </w:rPr>
              <w:t>Jayden Callen, Director, JCE Infrastructure Pty Ltd</w:t>
            </w:r>
          </w:p>
        </w:tc>
      </w:tr>
      <w:tr>
        <w:trPr>
          <w:cantSplit/>
        </w:trPr>
        <w:tc>
          <w:tcPr>
            <w:tcW w:type="dxa" w:w="3012"/>
            <w:shd w:val="clear" w:color="auto" w:fill="F3E9C6"/>
          </w:tcPr>
          <w:p>
            <w:r/>
            <w:r>
              <w:rPr>
                <w:b/>
                <w:sz w:val="18"/>
              </w:rPr>
              <w:t>Date</w:t>
            </w:r>
          </w:p>
        </w:tc>
        <w:tc>
          <w:tcPr>
            <w:tcW w:type="dxa" w:w="6626"/>
          </w:tcPr>
          <w:p>
            <w:pPr>
              <w:spacing w:after="20"/>
            </w:pPr>
            <w:r/>
            <w:r>
              <w:rPr>
                <w:sz w:val="18"/>
              </w:rPr>
              <w:t>12/10/2026</w:t>
            </w:r>
          </w:p>
        </w:tc>
      </w:tr>
      <w:tr>
        <w:trPr>
          <w:cantSplit/>
        </w:trPr>
        <w:tc>
          <w:tcPr>
            <w:tcW w:type="dxa" w:w="3012"/>
            <w:shd w:val="clear" w:color="auto" w:fill="F3E9C6"/>
          </w:tcPr>
          <w:p>
            <w:r/>
            <w:r>
              <w:rPr>
                <w:b/>
                <w:sz w:val="18"/>
              </w:rPr>
              <w:t>Quote due</w:t>
            </w:r>
          </w:p>
        </w:tc>
        <w:tc>
          <w:tcPr>
            <w:tcW w:type="dxa" w:w="6626"/>
          </w:tcPr>
          <w:p>
            <w:pPr>
              <w:spacing w:after="20"/>
            </w:pPr>
            <w:r/>
            <w:r>
              <w:rPr>
                <w:sz w:val="18"/>
              </w:rPr>
              <w:t>12:00 pm, Wednesday 21/10/2026</w:t>
            </w:r>
          </w:p>
        </w:tc>
      </w:tr>
      <w:tr>
        <w:trPr>
          <w:cantSplit/>
        </w:trPr>
        <w:tc>
          <w:tcPr>
            <w:tcW w:type="dxa" w:w="3012"/>
            <w:shd w:val="clear" w:color="auto" w:fill="F3E9C6"/>
          </w:tcPr>
          <w:p>
            <w:r/>
            <w:r>
              <w:rPr>
                <w:b/>
                <w:sz w:val="18"/>
              </w:rPr>
              <w:t>Tender closes</w:t>
            </w:r>
          </w:p>
        </w:tc>
        <w:tc>
          <w:tcPr>
            <w:tcW w:type="dxa" w:w="6626"/>
          </w:tcPr>
          <w:p>
            <w:pPr>
              <w:spacing w:after="20"/>
            </w:pPr>
            <w:r/>
            <w:r>
              <w:rPr>
                <w:sz w:val="18"/>
              </w:rPr>
              <w:t>2:00 pm, Wednesday 28/10/2026</w:t>
            </w:r>
          </w:p>
        </w:tc>
      </w:tr>
      <w:tr>
        <w:trPr>
          <w:cantSplit/>
        </w:trPr>
        <w:tc>
          <w:tcPr>
            <w:tcW w:type="dxa" w:w="3012"/>
            <w:shd w:val="clear" w:color="auto" w:fill="F3E9C6"/>
          </w:tcPr>
          <w:p>
            <w:r/>
            <w:r>
              <w:rPr>
                <w:b/>
                <w:sz w:val="18"/>
              </w:rPr>
              <w:t>Reply to</w:t>
            </w:r>
          </w:p>
        </w:tc>
        <w:tc>
          <w:tcPr>
            <w:tcW w:type="dxa" w:w="6626"/>
          </w:tcPr>
          <w:p>
            <w:pPr>
              <w:spacing w:after="20"/>
            </w:pPr>
            <w:r/>
            <w:r>
              <w:rPr>
                <w:sz w:val="18"/>
              </w:rPr>
              <w:t>jayden@jceinfrastructure.com.au  |  0477 207 027</w:t>
            </w:r>
          </w:p>
        </w:tc>
      </w:tr>
      <w:tr>
        <w:trPr>
          <w:cantSplit/>
        </w:trPr>
        <w:tc>
          <w:tcPr>
            <w:tcW w:type="dxa" w:w="3012"/>
            <w:shd w:val="clear" w:color="auto" w:fill="F3E9C6"/>
          </w:tcPr>
          <w:p>
            <w:r/>
            <w:r>
              <w:rPr>
                <w:b/>
                <w:sz w:val="18"/>
              </w:rPr>
              <w:t>Status</w:t>
            </w:r>
          </w:p>
        </w:tc>
        <w:tc>
          <w:tcPr>
            <w:tcW w:type="dxa" w:w="6626"/>
          </w:tcPr>
          <w:p>
            <w:pPr>
              <w:spacing w:after="20"/>
            </w:pPr>
            <w:r/>
            <w:r>
              <w:rPr>
                <w:sz w:val="18"/>
              </w:rPr>
              <w:t>Pricing request for a tender. Engagement depends on JCE winning the work.</w:t>
            </w:r>
          </w:p>
        </w:tc>
      </w:tr>
    </w:tbl>
    <w:p>
      <w:pPr>
        <w:spacing w:after="40"/>
      </w:pPr>
    </w:p>
    <w:p>
      <w:r>
        <w:rPr>
          <w:i w:val="0"/>
        </w:rPr>
        <w:t>JCE invites you to quote for the field inventory capture and condition rating of Inner West Council's transport assets, as JCE's data capture partner and key subcontractor in its tender for RFT 47-26. JCE will carry out all GIS processing, asset register updates, data QA and audit sampling in-house, so this request covers field and vehicle capture and rating only.</w:t>
      </w:r>
    </w:p>
    <w:p>
      <w:pPr>
        <w:pStyle w:val="Heading1"/>
        <w:pBdr>
          <w:bottom w:val="single" w:sz="6" w:space="1" w:color="C9A227"/>
        </w:pBdr>
      </w:pPr>
      <w:r>
        <w:t>1.0   Project and tender background</w:t>
      </w:r>
    </w:p>
    <w:p>
      <w:r>
        <w:rPr>
          <w:i w:val="0"/>
        </w:rPr>
        <w:t>Inner West Council (Council) has invited tenders (RFT 47-26, VendorPanel VP527819) for a comprehensive condition audit and revaluation of its transport asset network, with documented programs for capital renewal, upgrade and maintenance works. JCE Infrastructure Pty Ltd (JCE) is tendering as Prime Contractor. Council will deal only with the Prime Contractor. Council expects to award in November 2026 and requires the audit data, spatial layers and revaluation reports by 31/03/2027 (Optional Service A by 30/06/2027). Prices are lump sums. Council's quantities are indicative and the contract price is deemed to include any additional assets found: no variation is paid for higher quantities.</w:t>
      </w:r>
    </w:p>
    <w:p>
      <w:r>
        <w:rPr>
          <w:i w:val="0"/>
        </w:rPr>
        <w:t>Council's Scope table: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4190"/>
        <w:gridCol w:w="2514"/>
        <w:gridCol w:w="1844"/>
        <w:gridCol w:w="1089"/>
      </w:tblGrid>
      <w:tr>
        <w:trPr>
          <w:tblHeader/>
          <w:cantSplit/>
        </w:trPr>
        <w:tc>
          <w:tcPr>
            <w:tcW w:type="dxa" w:w="4190"/>
            <w:shd w:val="clear" w:color="auto" w:fill="000000"/>
          </w:tcPr>
          <w:p>
            <w:pPr>
              <w:keepNext/>
            </w:pPr>
            <w:r/>
            <w:r>
              <w:rPr>
                <w:b/>
                <w:color w:val="FFFFFF"/>
                <w:sz w:val="17"/>
              </w:rPr>
              <w:t>Asset class</w:t>
            </w:r>
          </w:p>
        </w:tc>
        <w:tc>
          <w:tcPr>
            <w:tcW w:type="dxa" w:w="2514"/>
            <w:shd w:val="clear" w:color="auto" w:fill="000000"/>
          </w:tcPr>
          <w:p>
            <w:pPr>
              <w:keepNext/>
            </w:pPr>
            <w:r/>
            <w:r>
              <w:rPr>
                <w:b/>
                <w:color w:val="FFFFFF"/>
                <w:sz w:val="17"/>
              </w:rPr>
              <w:t>Estimated quantity</w:t>
            </w:r>
          </w:p>
        </w:tc>
        <w:tc>
          <w:tcPr>
            <w:tcW w:type="dxa" w:w="1844"/>
            <w:shd w:val="clear" w:color="auto" w:fill="000000"/>
          </w:tcPr>
          <w:p>
            <w:pPr>
              <w:keepNext/>
            </w:pPr>
            <w:r/>
            <w:r>
              <w:rPr>
                <w:b/>
                <w:color w:val="FFFFFF"/>
                <w:sz w:val="17"/>
              </w:rPr>
              <w:t>Condition</w:t>
            </w:r>
          </w:p>
        </w:tc>
        <w:tc>
          <w:tcPr>
            <w:tcW w:type="dxa" w:w="1089"/>
            <w:shd w:val="clear" w:color="auto" w:fill="000000"/>
          </w:tcPr>
          <w:p>
            <w:pPr>
              <w:keepNext/>
            </w:pPr>
            <w:r/>
            <w:r>
              <w:rPr>
                <w:b/>
                <w:color w:val="FFFFFF"/>
                <w:sz w:val="17"/>
              </w:rPr>
              <w:t>Revalue</w:t>
            </w:r>
          </w:p>
        </w:tc>
      </w:tr>
      <w:tr>
        <w:trPr>
          <w:cantSplit/>
        </w:trPr>
        <w:tc>
          <w:tcPr>
            <w:tcW w:type="dxa" w:w="4190"/>
          </w:tcPr>
          <w:p>
            <w:pPr>
              <w:keepNext/>
              <w:spacing w:after="20"/>
            </w:pPr>
            <w:r/>
            <w:r>
              <w:rPr>
                <w:sz w:val="17"/>
              </w:rPr>
              <w:t>Roads (State roads excluded; regional roads both directions)</w:t>
            </w:r>
          </w:p>
        </w:tc>
        <w:tc>
          <w:tcPr>
            <w:tcW w:type="dxa" w:w="2514"/>
          </w:tcPr>
          <w:p>
            <w:pPr>
              <w:keepNext/>
              <w:spacing w:after="20"/>
            </w:pPr>
            <w:r/>
            <w:r>
              <w:rPr>
                <w:sz w:val="17"/>
              </w:rPr>
              <w:t>464 km (3,852,677 m²)</w:t>
            </w:r>
          </w:p>
        </w:tc>
        <w:tc>
          <w:tcPr>
            <w:tcW w:type="dxa" w:w="1844"/>
          </w:tcPr>
          <w:p>
            <w:pPr>
              <w:keepNext/>
              <w:spacing w:after="20"/>
            </w:pPr>
            <w:r/>
            <w:r>
              <w:rPr>
                <w:sz w:val="17"/>
              </w:rPr>
              <w:t>Overall + every 50 m</w:t>
            </w:r>
          </w:p>
        </w:tc>
        <w:tc>
          <w:tcPr>
            <w:tcW w:type="dxa" w:w="1089"/>
          </w:tcPr>
          <w:p>
            <w:pPr>
              <w:keepNext/>
              <w:spacing w:after="20"/>
            </w:pPr>
            <w:r/>
            <w:r>
              <w:rPr>
                <w:sz w:val="17"/>
              </w:rPr>
              <w:t>Yes</w:t>
            </w:r>
          </w:p>
        </w:tc>
      </w:tr>
      <w:tr>
        <w:trPr>
          <w:cantSplit/>
        </w:trPr>
        <w:tc>
          <w:tcPr>
            <w:tcW w:type="dxa" w:w="4190"/>
            <w:shd w:val="clear" w:color="auto" w:fill="F7F7F7"/>
          </w:tcPr>
          <w:p>
            <w:pPr>
              <w:spacing w:after="20"/>
            </w:pPr>
            <w:r/>
            <w:r>
              <w:rPr>
                <w:sz w:val="17"/>
              </w:rPr>
              <w:t>Footpaths (incl. on State roads); footpath and verge widths and areas</w:t>
            </w:r>
          </w:p>
        </w:tc>
        <w:tc>
          <w:tcPr>
            <w:tcW w:type="dxa" w:w="2514"/>
            <w:shd w:val="clear" w:color="auto" w:fill="F7F7F7"/>
          </w:tcPr>
          <w:p>
            <w:pPr>
              <w:spacing w:after="20"/>
            </w:pPr>
            <w:r/>
            <w:r>
              <w:rPr>
                <w:sz w:val="17"/>
              </w:rPr>
              <w:t>844 km (8,862 segments)</w:t>
            </w:r>
          </w:p>
        </w:tc>
        <w:tc>
          <w:tcPr>
            <w:tcW w:type="dxa" w:w="1844"/>
            <w:shd w:val="clear" w:color="auto" w:fill="F7F7F7"/>
          </w:tcPr>
          <w:p>
            <w:pPr>
              <w:spacing w:after="20"/>
            </w:pPr>
            <w:r/>
            <w:r>
              <w:rPr>
                <w:sz w:val="17"/>
              </w:rPr>
              <w:t>Overall + every 20 m</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Kerb and gutter (State roads excluded)</w:t>
            </w:r>
          </w:p>
        </w:tc>
        <w:tc>
          <w:tcPr>
            <w:tcW w:type="dxa" w:w="2514"/>
          </w:tcPr>
          <w:p>
            <w:pPr>
              <w:spacing w:after="20"/>
            </w:pPr>
            <w:r/>
            <w:r>
              <w:rPr>
                <w:sz w:val="17"/>
              </w:rPr>
              <w:t>865.9 km</w:t>
            </w:r>
          </w:p>
        </w:tc>
        <w:tc>
          <w:tcPr>
            <w:tcW w:type="dxa" w:w="1844"/>
          </w:tcPr>
          <w:p>
            <w:pPr>
              <w:spacing w:after="20"/>
            </w:pPr>
            <w:r/>
            <w:r>
              <w:rPr>
                <w:sz w:val="17"/>
              </w:rPr>
              <w:t>Overall + every 10 m</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Traffic devices (LATM), with dimensions</w:t>
            </w:r>
          </w:p>
        </w:tc>
        <w:tc>
          <w:tcPr>
            <w:tcW w:type="dxa" w:w="2514"/>
            <w:shd w:val="clear" w:color="auto" w:fill="F7F7F7"/>
          </w:tcPr>
          <w:p>
            <w:pPr>
              <w:spacing w:after="20"/>
            </w:pPr>
            <w:r/>
            <w:r>
              <w:rPr>
                <w:sz w:val="17"/>
              </w:rPr>
              <w:t>4,885</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Street furniture and other road assets</w:t>
            </w:r>
          </w:p>
        </w:tc>
        <w:tc>
          <w:tcPr>
            <w:tcW w:type="dxa" w:w="2514"/>
          </w:tcPr>
          <w:p>
            <w:pPr>
              <w:spacing w:after="20"/>
            </w:pPr>
            <w:r/>
            <w:r>
              <w:rPr>
                <w:sz w:val="17"/>
              </w:rPr>
              <w:t>5,972</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Artwork</w:t>
            </w:r>
          </w:p>
        </w:tc>
        <w:tc>
          <w:tcPr>
            <w:tcW w:type="dxa" w:w="2514"/>
            <w:shd w:val="clear" w:color="auto" w:fill="F7F7F7"/>
          </w:tcPr>
          <w:p>
            <w:pPr>
              <w:spacing w:after="20"/>
            </w:pPr>
            <w:r/>
            <w:r>
              <w:rPr>
                <w:sz w:val="17"/>
              </w:rPr>
              <w:t>Unknown</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Car park surfaces; car park assets</w:t>
            </w:r>
          </w:p>
        </w:tc>
        <w:tc>
          <w:tcPr>
            <w:tcW w:type="dxa" w:w="2514"/>
          </w:tcPr>
          <w:p>
            <w:pPr>
              <w:spacing w:after="20"/>
            </w:pPr>
            <w:r/>
            <w:r>
              <w:rPr>
                <w:sz w:val="17"/>
              </w:rPr>
              <w:t>81 locations (143,266 m²); 1,533</w:t>
            </w:r>
          </w:p>
        </w:tc>
        <w:tc>
          <w:tcPr>
            <w:tcW w:type="dxa" w:w="1844"/>
          </w:tcPr>
          <w:p>
            <w:pPr>
              <w:spacing w:after="20"/>
            </w:pPr>
            <w:r/>
            <w:r>
              <w:rPr>
                <w:sz w:val="17"/>
              </w:rPr>
              <w:t>Overall</w:t>
            </w:r>
          </w:p>
        </w:tc>
        <w:tc>
          <w:tcPr>
            <w:tcW w:type="dxa" w:w="1089"/>
          </w:tcPr>
          <w:p>
            <w:pPr>
              <w:spacing w:after="20"/>
            </w:pPr>
            <w:r/>
            <w:r>
              <w:rPr>
                <w:sz w:val="17"/>
              </w:rPr>
              <w:t>Yes</w:t>
            </w:r>
          </w:p>
        </w:tc>
      </w:tr>
      <w:tr>
        <w:trPr>
          <w:cantSplit/>
        </w:trPr>
        <w:tc>
          <w:tcPr>
            <w:tcW w:type="dxa" w:w="4190"/>
            <w:shd w:val="clear" w:color="auto" w:fill="F7F7F7"/>
          </w:tcPr>
          <w:p>
            <w:pPr>
              <w:spacing w:after="20"/>
            </w:pPr>
            <w:r/>
            <w:r>
              <w:rPr>
                <w:sz w:val="17"/>
              </w:rPr>
              <w:t>White way (under-awning) lighting, new class</w:t>
            </w:r>
          </w:p>
        </w:tc>
        <w:tc>
          <w:tcPr>
            <w:tcW w:type="dxa" w:w="2514"/>
            <w:shd w:val="clear" w:color="auto" w:fill="F7F7F7"/>
          </w:tcPr>
          <w:p>
            <w:pPr>
              <w:spacing w:after="20"/>
            </w:pPr>
            <w:r/>
            <w:r>
              <w:rPr>
                <w:sz w:val="17"/>
              </w:rPr>
              <w:t>1,500+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Yes</w:t>
            </w:r>
          </w:p>
        </w:tc>
      </w:tr>
      <w:tr>
        <w:trPr>
          <w:cantSplit/>
        </w:trPr>
        <w:tc>
          <w:tcPr>
            <w:tcW w:type="dxa" w:w="4190"/>
          </w:tcPr>
          <w:p>
            <w:pPr>
              <w:spacing w:after="20"/>
            </w:pPr>
            <w:r/>
            <w:r>
              <w:rPr>
                <w:sz w:val="17"/>
              </w:rPr>
              <w:t>Signage, all types, categorised</w:t>
            </w:r>
          </w:p>
        </w:tc>
        <w:tc>
          <w:tcPr>
            <w:tcW w:type="dxa" w:w="2514"/>
          </w:tcPr>
          <w:p>
            <w:pPr>
              <w:spacing w:after="20"/>
            </w:pPr>
            <w:r/>
            <w:r>
              <w:rPr>
                <w:sz w:val="17"/>
              </w:rPr>
              <w:t>50,000+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Bicycle route identifiers; dedicated on-road bicycle lanes</w:t>
            </w:r>
          </w:p>
        </w:tc>
        <w:tc>
          <w:tcPr>
            <w:tcW w:type="dxa" w:w="2514"/>
            <w:shd w:val="clear" w:color="auto" w:fill="F7F7F7"/>
          </w:tcPr>
          <w:p>
            <w:pPr>
              <w:spacing w:after="20"/>
            </w:pPr>
            <w:r/>
            <w:r>
              <w:rPr>
                <w:sz w:val="17"/>
              </w:rPr>
              <w:t>Various</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kerb and pram ramps (DDA checks)</w:t>
            </w:r>
          </w:p>
        </w:tc>
        <w:tc>
          <w:tcPr>
            <w:tcW w:type="dxa" w:w="2514"/>
          </w:tcPr>
          <w:p>
            <w:pPr>
              <w:spacing w:after="20"/>
            </w:pPr>
            <w:r/>
            <w:r>
              <w:rPr>
                <w:sz w:val="17"/>
              </w:rPr>
              <w:t>8,000+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tree pits and verge gardens</w:t>
            </w:r>
          </w:p>
        </w:tc>
        <w:tc>
          <w:tcPr>
            <w:tcW w:type="dxa" w:w="2514"/>
            <w:shd w:val="clear" w:color="auto" w:fill="F7F7F7"/>
          </w:tcPr>
          <w:p>
            <w:pPr>
              <w:spacing w:after="20"/>
            </w:pPr>
            <w:r/>
            <w:r>
              <w:rPr>
                <w:sz w:val="17"/>
              </w:rPr>
              <w:t>15,350+</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vehicle crossings</w:t>
            </w:r>
          </w:p>
        </w:tc>
        <w:tc>
          <w:tcPr>
            <w:tcW w:type="dxa" w:w="2514"/>
          </w:tcPr>
          <w:p>
            <w:pPr>
              <w:spacing w:after="20"/>
            </w:pPr>
            <w:r/>
            <w:r>
              <w:rPr>
                <w:sz w:val="17"/>
              </w:rPr>
              <w:t>34,300+</w:t>
            </w:r>
          </w:p>
        </w:tc>
        <w:tc>
          <w:tcPr>
            <w:tcW w:type="dxa" w:w="1844"/>
          </w:tcPr>
          <w:p>
            <w:pPr>
              <w:spacing w:after="20"/>
            </w:pPr>
            <w:r/>
            <w:r>
              <w:rPr>
                <w:sz w:val="17"/>
              </w:rPr>
              <w:t>Overall</w:t>
            </w:r>
          </w:p>
        </w:tc>
        <w:tc>
          <w:tcPr>
            <w:tcW w:type="dxa" w:w="1089"/>
          </w:tcPr>
          <w:p>
            <w:pPr>
              <w:spacing w:after="20"/>
            </w:pPr>
            <w:r/>
            <w:r>
              <w:rPr>
                <w:sz w:val="17"/>
              </w:rPr>
              <w:t>No</w:t>
            </w:r>
          </w:p>
        </w:tc>
      </w:tr>
      <w:tr>
        <w:trPr>
          <w:cantSplit/>
        </w:trPr>
        <w:tc>
          <w:tcPr>
            <w:tcW w:type="dxa" w:w="4190"/>
            <w:shd w:val="clear" w:color="auto" w:fill="F7F7F7"/>
          </w:tcPr>
          <w:p>
            <w:pPr>
              <w:spacing w:after="20"/>
            </w:pPr>
            <w:r/>
            <w:r>
              <w:rPr>
                <w:sz w:val="17"/>
              </w:rPr>
              <w:t>Optional: road and footpath markings</w:t>
            </w:r>
          </w:p>
        </w:tc>
        <w:tc>
          <w:tcPr>
            <w:tcW w:type="dxa" w:w="2514"/>
            <w:shd w:val="clear" w:color="auto" w:fill="F7F7F7"/>
          </w:tcPr>
          <w:p>
            <w:pPr>
              <w:spacing w:after="20"/>
            </w:pPr>
            <w:r/>
            <w:r>
              <w:rPr>
                <w:sz w:val="17"/>
              </w:rPr>
              <w:t>Network-wide</w:t>
            </w:r>
          </w:p>
        </w:tc>
        <w:tc>
          <w:tcPr>
            <w:tcW w:type="dxa" w:w="1844"/>
            <w:shd w:val="clear" w:color="auto" w:fill="F7F7F7"/>
          </w:tcPr>
          <w:p>
            <w:pPr>
              <w:spacing w:after="20"/>
            </w:pPr>
            <w:r/>
            <w:r>
              <w:rPr>
                <w:sz w:val="17"/>
              </w:rPr>
              <w:t>Overall</w:t>
            </w:r>
          </w:p>
        </w:tc>
        <w:tc>
          <w:tcPr>
            <w:tcW w:type="dxa" w:w="1089"/>
            <w:shd w:val="clear" w:color="auto" w:fill="F7F7F7"/>
          </w:tcPr>
          <w:p>
            <w:pPr>
              <w:spacing w:after="20"/>
            </w:pPr>
            <w:r/>
            <w:r>
              <w:rPr>
                <w:sz w:val="17"/>
              </w:rPr>
              <w:t>No</w:t>
            </w:r>
          </w:p>
        </w:tc>
      </w:tr>
      <w:tr>
        <w:trPr>
          <w:cantSplit/>
        </w:trPr>
        <w:tc>
          <w:tcPr>
            <w:tcW w:type="dxa" w:w="4190"/>
          </w:tcPr>
          <w:p>
            <w:pPr>
              <w:spacing w:after="20"/>
            </w:pPr>
            <w:r/>
            <w:r>
              <w:rPr>
                <w:sz w:val="17"/>
              </w:rPr>
              <w:t>Optional: retaining walls (from street and footpath)</w:t>
            </w:r>
          </w:p>
        </w:tc>
        <w:tc>
          <w:tcPr>
            <w:tcW w:type="dxa" w:w="2514"/>
          </w:tcPr>
          <w:p>
            <w:pPr>
              <w:spacing w:after="20"/>
            </w:pPr>
            <w:r/>
            <w:r>
              <w:rPr>
                <w:sz w:val="17"/>
              </w:rPr>
              <w:t>Unknown</w:t>
            </w:r>
          </w:p>
        </w:tc>
        <w:tc>
          <w:tcPr>
            <w:tcW w:type="dxa" w:w="1844"/>
          </w:tcPr>
          <w:p>
            <w:pPr>
              <w:spacing w:after="20"/>
            </w:pPr>
            <w:r/>
            <w:r>
              <w:rPr>
                <w:sz w:val="17"/>
              </w:rPr>
              <w:t>Overall</w:t>
            </w:r>
          </w:p>
        </w:tc>
        <w:tc>
          <w:tcPr>
            <w:tcW w:type="dxa" w:w="1089"/>
          </w:tcPr>
          <w:p>
            <w:pPr>
              <w:spacing w:after="20"/>
            </w:pPr>
            <w:r/>
            <w:r>
              <w:rPr>
                <w:sz w:val="17"/>
              </w:rPr>
              <w:t>If selected</w:t>
            </w:r>
          </w:p>
        </w:tc>
      </w:tr>
    </w:tbl>
    <w:p>
      <w:pPr>
        <w:spacing w:after="40"/>
      </w:pPr>
    </w:p>
    <w:p>
      <w:pPr>
        <w:pStyle w:val="Heading1"/>
        <w:pBdr>
          <w:bottom w:val="single" w:sz="6" w:space="1" w:color="C9A227"/>
        </w:pBdr>
      </w:pPr>
      <w:r>
        <w:t>2.0   Scope of services requested</w:t>
      </w:r>
    </w:p>
    <w:p>
      <w:pPr>
        <w:pStyle w:val="Heading2"/>
      </w:pPr>
      <w:r>
        <w:t>All asset classes (mandatory, with optional classes priced separately)</w:t>
      </w:r>
    </w:p>
    <w:p>
      <w:pPr>
        <w:pStyle w:val="ListBullet"/>
        <w:spacing w:after="40"/>
      </w:pPr>
      <w:r>
        <w:t>Inventory verification against Council's asset register (present, missing, new), linked to Council's Asset_ID, with your unique ID for every asset (bicycle routes excepted, as the brief allows). New class: white way lighting from Council's list.</w:t>
      </w:r>
    </w:p>
    <w:p>
      <w:pPr>
        <w:pStyle w:val="ListBullet"/>
        <w:spacing w:after="40"/>
      </w:pPr>
      <w:r>
        <w:t>Visual condition assessment on Council's 1 (Very Good) to 5 (Very Poor) scale: overall, and at 50 m for roads, 20 m for footpaths and 10 m for kerb and gutter, with defects recorded and spatially located against the Asset_ID using Council's defect types.</w:t>
      </w:r>
    </w:p>
    <w:p>
      <w:pPr>
        <w:pStyle w:val="ListBullet"/>
        <w:spacing w:after="40"/>
      </w:pPr>
      <w:r>
        <w:t>Roads: widths, with concrete and asphalt sections measured and rated separately; regional roads in both directions.</w:t>
      </w:r>
    </w:p>
    <w:p>
      <w:pPr>
        <w:pStyle w:val="ListBullet"/>
        <w:spacing w:after="40"/>
      </w:pPr>
      <w:r>
        <w:t>Footpaths: footpath and grass verge (including verge garden) lengths, widths and areas, and the size and location of lifts and trip hazards for Council's footpath maintenance program (grinding under 35 mm, asphalt wedges over 35 mm, paver resetting, slab replacement, permanent restoration).</w:t>
      </w:r>
    </w:p>
    <w:p>
      <w:pPr>
        <w:pStyle w:val="ListBullet"/>
        <w:spacing w:after="40"/>
      </w:pPr>
      <w:r>
        <w:t>Traffic devices with length, width, height and diameter; street furniture; artwork; car park surfaces and assets; signage categorised by type; bicycle routes as an attribute and on-road bicycle lanes.</w:t>
      </w:r>
    </w:p>
    <w:p>
      <w:pPr>
        <w:pStyle w:val="ListBullet"/>
        <w:spacing w:after="40"/>
      </w:pPr>
      <w:r>
        <w:t>Optional classes, priced separately: kerb and pram ramps (DDA checks of lip, slope, direction and alignment of paired ramps), tree pits and verge gardens, vehicle crossings, road and footpath markings, and retaining walls (from the street and footpath only).</w:t>
      </w:r>
    </w:p>
    <w:p>
      <w:pPr>
        <w:pStyle w:val="Heading2"/>
      </w:pPr>
      <w:r>
        <w:t>Method, spatial and photo requirements (Contractor Brief)</w:t>
      </w:r>
    </w:p>
    <w:p>
      <w:pPr>
        <w:pStyle w:val="ListBullet"/>
        <w:spacing w:after="40"/>
      </w:pPr>
      <w:r>
        <w:t>Segments collected on the left side from the "From" street to the "To" street (house number sub-segments where they apply).</w:t>
      </w:r>
    </w:p>
    <w:p>
      <w:pPr>
        <w:pStyle w:val="ListBullet"/>
        <w:spacing w:after="40"/>
      </w:pPr>
      <w:r>
        <w:t>Mapping-grade DGPS positions differentially corrected to 1 m or better, with GPS feature metadata in each record (receiver type, offset method, date, time, field officer, positional accuracy, number of positions, PDOP or HDOP, correction status, form name). Heights, if any, to AHD.</w:t>
      </w:r>
    </w:p>
    <w:p>
      <w:pPr>
        <w:pStyle w:val="ListBullet"/>
        <w:spacing w:after="40"/>
      </w:pPr>
      <w:r>
        <w:t>Geo-referenced photographs of 5 megapixels or more of every inventory item, with the metadata Council specifies printed below the image (coordinates, datum, direction, date, time, site ID, unique photo ID, photographer, contract number, contractor name).</w:t>
      </w:r>
    </w:p>
    <w:p>
      <w:pPr>
        <w:pStyle w:val="ListBullet"/>
        <w:spacing w:after="40"/>
      </w:pPr>
      <w:r>
        <w:t>Field trial with Council and JCE, a two-week pilot in Council's nominated area, and changes from Council's review before network capture (pilot approval is a hold point).</w:t>
      </w:r>
    </w:p>
    <w:p>
      <w:pPr>
        <w:pStyle w:val="ListBullet"/>
        <w:spacing w:after="40"/>
      </w:pPr>
      <w:r>
        <w:t>An audit system with ongoing feedback and retraining of field staff, and correction of any records JCE's weekly desktop audit sampling (5% of segments and assets) rejects, within five (5) business days.</w:t>
      </w:r>
    </w:p>
    <w:p>
      <w:pPr>
        <w:pStyle w:val="ListBullet"/>
        <w:spacing w:after="40"/>
      </w:pPr>
      <w:r>
        <w:t>Same-day email notice to JCE of Very High and Extreme risk defects (type, location and image) for JCE to pass to Council, and weekly reports of road defects such as potholes.</w:t>
      </w:r>
    </w:p>
    <w:p>
      <w:pPr>
        <w:pStyle w:val="ListBullet"/>
        <w:spacing w:after="40"/>
      </w:pPr>
      <w:r>
        <w:t>Field staff qualified and experienced in transport asset inventory, condition assessment, audit methodology, local government asset management and GIS data capture.</w:t>
      </w:r>
    </w:p>
    <w:p>
      <w:pPr>
        <w:pStyle w:val="Heading2"/>
      </w:pPr>
      <w:r>
        <w:t>Deliverables</w:t>
      </w:r>
    </w:p>
    <w:p>
      <w:pPr>
        <w:pStyle w:val="ListBullet"/>
        <w:spacing w:after="40"/>
      </w:pPr>
      <w:r>
        <w:t>Raw geo-referenced imagery (vehicle and walk-through) with GNSS logs and the photo metadata Council specifies, named by asset or segment, for JCE's desktop audit sampling and Council's records.</w:t>
      </w:r>
    </w:p>
    <w:p>
      <w:pPr>
        <w:pStyle w:val="ListBullet"/>
        <w:spacing w:after="40"/>
      </w:pPr>
      <w:r>
        <w:t>Rated field data in JCE's capture schema (Excel or GeoPackage, MGA Zone 56 GDA2020), one record per asset or interval, carrying Council's Asset_ID where matched, with condition, defects, dimensions and lift measurements. JCE builds the final ESRI shapefiles, Excel database, data dictionary, metadata and TechnologyOne register update files.</w:t>
      </w:r>
    </w:p>
    <w:p>
      <w:pPr>
        <w:pStyle w:val="ListBullet"/>
        <w:spacing w:after="40"/>
      </w:pPr>
      <w:r>
        <w:t>Weekly data drops from 08/02/2027 so JCE can audit and process in parallel; corrections to records JCE's audit sampling rejects within five (5) business days.</w:t>
      </w:r>
    </w:p>
    <w:p>
      <w:pPr>
        <w:pStyle w:val="ListBullet"/>
        <w:spacing w:after="40"/>
      </w:pPr>
      <w:r>
        <w:t>Defect inventory with risk ratings, locations and photos; QA records (calibration, audit feedback, corrections); weekly progress updates.</w:t>
      </w:r>
    </w:p>
    <w:p>
      <w:pPr>
        <w:pStyle w:val="Heading1"/>
        <w:pBdr>
          <w:bottom w:val="single" w:sz="6" w:space="1" w:color="C9A227"/>
        </w:pBdr>
      </w:pPr>
      <w:r>
        <w:t>3.0   Key dates and program</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RFQ issued</w:t>
            </w:r>
          </w:p>
        </w:tc>
        <w:tc>
          <w:tcPr>
            <w:tcW w:type="dxa" w:w="3855"/>
          </w:tcPr>
          <w:p>
            <w:pPr>
              <w:keepNext/>
              <w:spacing w:after="20"/>
            </w:pPr>
            <w:r/>
            <w:r>
              <w:rPr>
                <w:sz w:val="17"/>
              </w:rPr>
              <w:t>12/10/2026</w:t>
            </w:r>
          </w:p>
        </w:tc>
      </w:tr>
      <w:tr>
        <w:trPr>
          <w:cantSplit/>
        </w:trPr>
        <w:tc>
          <w:tcPr>
            <w:tcW w:type="dxa" w:w="5783"/>
            <w:shd w:val="clear" w:color="auto" w:fill="F7F7F7"/>
          </w:tcPr>
          <w:p>
            <w:pPr>
              <w:spacing w:after="20"/>
            </w:pPr>
            <w:r/>
            <w:r>
              <w:rPr>
                <w:sz w:val="17"/>
              </w:rPr>
              <w:t>Please confirm you intend to quote</w:t>
            </w:r>
          </w:p>
        </w:tc>
        <w:tc>
          <w:tcPr>
            <w:tcW w:type="dxa" w:w="3855"/>
            <w:shd w:val="clear" w:color="auto" w:fill="F7F7F7"/>
          </w:tcPr>
          <w:p>
            <w:pPr>
              <w:spacing w:after="20"/>
            </w:pPr>
            <w:r/>
            <w:r>
              <w:rPr>
                <w:sz w:val="17"/>
              </w:rPr>
              <w:t>Wednesday 14/10/2026</w:t>
            </w:r>
          </w:p>
        </w:tc>
      </w:tr>
      <w:tr>
        <w:trPr>
          <w:cantSplit/>
        </w:trPr>
        <w:tc>
          <w:tcPr>
            <w:tcW w:type="dxa" w:w="5783"/>
          </w:tcPr>
          <w:p>
            <w:pPr>
              <w:spacing w:after="20"/>
            </w:pPr>
            <w:r/>
            <w:r>
              <w:rPr>
                <w:sz w:val="17"/>
              </w:rPr>
              <w:t>Questions to JCE (so JCE can lodge them on Council's forum by 21/10/2026)</w:t>
            </w:r>
          </w:p>
        </w:tc>
        <w:tc>
          <w:tcPr>
            <w:tcW w:type="dxa" w:w="3855"/>
          </w:tcPr>
          <w:p>
            <w:pPr>
              <w:spacing w:after="20"/>
            </w:pPr>
            <w:r/>
            <w:r>
              <w:rPr>
                <w:sz w:val="17"/>
              </w:rPr>
              <w:t>12:00 pm, Friday 16/10/2026</w:t>
            </w:r>
          </w:p>
        </w:tc>
      </w:tr>
      <w:tr>
        <w:trPr>
          <w:cantSplit/>
        </w:trPr>
        <w:tc>
          <w:tcPr>
            <w:tcW w:type="dxa" w:w="5783"/>
            <w:shd w:val="clear" w:color="auto" w:fill="F7F7F7"/>
          </w:tcPr>
          <w:p>
            <w:pPr>
              <w:spacing w:after="20"/>
            </w:pPr>
            <w:r/>
            <w:r>
              <w:rPr>
                <w:sz w:val="17"/>
              </w:rPr>
              <w:t>Quote due to JCE</w:t>
            </w:r>
          </w:p>
        </w:tc>
        <w:tc>
          <w:tcPr>
            <w:tcW w:type="dxa" w:w="3855"/>
            <w:shd w:val="clear" w:color="auto" w:fill="F7F7F7"/>
          </w:tcPr>
          <w:p>
            <w:pPr>
              <w:spacing w:after="20"/>
            </w:pPr>
            <w:r/>
            <w:r>
              <w:rPr>
                <w:sz w:val="17"/>
              </w:rPr>
              <w:t>12:00 pm, Wednesday 21/10/2026</w:t>
            </w:r>
          </w:p>
        </w:tc>
      </w:tr>
      <w:tr>
        <w:trPr>
          <w:cantSplit/>
        </w:trPr>
        <w:tc>
          <w:tcPr>
            <w:tcW w:type="dxa" w:w="5783"/>
          </w:tcPr>
          <w:p>
            <w:pPr>
              <w:spacing w:after="20"/>
            </w:pPr>
            <w:r/>
            <w:r>
              <w:rPr>
                <w:sz w:val="17"/>
              </w:rPr>
              <w:t>Tender closes (VendorPanel)</w:t>
            </w:r>
          </w:p>
        </w:tc>
        <w:tc>
          <w:tcPr>
            <w:tcW w:type="dxa" w:w="3855"/>
          </w:tcPr>
          <w:p>
            <w:pPr>
              <w:spacing w:after="20"/>
            </w:pPr>
            <w:r/>
            <w:r>
              <w:rPr>
                <w:sz w:val="17"/>
              </w:rPr>
              <w:t>2:00 pm, Wednesday 28/10/2026</w:t>
            </w:r>
          </w:p>
        </w:tc>
      </w:tr>
      <w:tr>
        <w:trPr>
          <w:cantSplit/>
        </w:trPr>
        <w:tc>
          <w:tcPr>
            <w:tcW w:type="dxa" w:w="5783"/>
            <w:shd w:val="clear" w:color="auto" w:fill="F7F7F7"/>
          </w:tcPr>
          <w:p>
            <w:pPr>
              <w:spacing w:after="20"/>
            </w:pPr>
            <w:r/>
            <w:r>
              <w:rPr>
                <w:sz w:val="17"/>
              </w:rPr>
              <w:t>Award (anticipated by Council)</w:t>
            </w:r>
          </w:p>
        </w:tc>
        <w:tc>
          <w:tcPr>
            <w:tcW w:type="dxa" w:w="3855"/>
            <w:shd w:val="clear" w:color="auto" w:fill="F7F7F7"/>
          </w:tcPr>
          <w:p>
            <w:pPr>
              <w:spacing w:after="20"/>
            </w:pPr>
            <w:r/>
            <w:r>
              <w:rPr>
                <w:sz w:val="17"/>
              </w:rPr>
              <w:t>November 2026 (program assumes 30/11/2026)</w:t>
            </w:r>
          </w:p>
        </w:tc>
      </w:tr>
      <w:tr>
        <w:trPr>
          <w:cantSplit/>
        </w:trPr>
        <w:tc>
          <w:tcPr>
            <w:tcW w:type="dxa" w:w="5783"/>
          </w:tcPr>
          <w:p>
            <w:pPr>
              <w:spacing w:after="20"/>
            </w:pPr>
            <w:r/>
            <w:r>
              <w:rPr>
                <w:sz w:val="17"/>
              </w:rPr>
              <w:t>Prices held until (90 days after tender close)</w:t>
            </w:r>
          </w:p>
        </w:tc>
        <w:tc>
          <w:tcPr>
            <w:tcW w:type="dxa" w:w="3855"/>
          </w:tcPr>
          <w:p>
            <w:pPr>
              <w:spacing w:after="20"/>
            </w:pPr>
            <w:r/>
            <w:r>
              <w:rPr>
                <w:sz w:val="17"/>
              </w:rPr>
              <w:t>26/01/2027</w:t>
            </w:r>
          </w:p>
        </w:tc>
      </w:tr>
    </w:tbl>
    <w:p>
      <w:pPr>
        <w:spacing w:after="40"/>
      </w:pPr>
    </w:p>
    <w:p>
      <w:r>
        <w:rPr>
          <w:i w:val="0"/>
        </w:rPr>
        <w:t>Program to meet Council's 31/03/2027 deadline, assuming award by 30/11/2026:</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5783"/>
        <w:gridCol w:w="3855"/>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Field trial with Council and JCE</w:t>
            </w:r>
          </w:p>
        </w:tc>
        <w:tc>
          <w:tcPr>
            <w:tcW w:type="dxa" w:w="3855"/>
          </w:tcPr>
          <w:p>
            <w:pPr>
              <w:keepNext/>
              <w:spacing w:after="20"/>
            </w:pPr>
            <w:r/>
            <w:r>
              <w:rPr>
                <w:sz w:val="17"/>
              </w:rPr>
              <w:t>08/12/2026 to 09/12/2026</w:t>
            </w:r>
          </w:p>
        </w:tc>
      </w:tr>
      <w:tr>
        <w:trPr>
          <w:cantSplit/>
        </w:trPr>
        <w:tc>
          <w:tcPr>
            <w:tcW w:type="dxa" w:w="5783"/>
            <w:shd w:val="clear" w:color="auto" w:fill="F7F7F7"/>
          </w:tcPr>
          <w:p>
            <w:pPr>
              <w:spacing w:after="20"/>
            </w:pPr>
            <w:r/>
            <w:r>
              <w:rPr>
                <w:sz w:val="17"/>
              </w:rPr>
              <w:t>Capture forms, definitions and JCE capture schema approved by Council</w:t>
            </w:r>
          </w:p>
        </w:tc>
        <w:tc>
          <w:tcPr>
            <w:tcW w:type="dxa" w:w="3855"/>
            <w:shd w:val="clear" w:color="auto" w:fill="F7F7F7"/>
          </w:tcPr>
          <w:p>
            <w:pPr>
              <w:spacing w:after="20"/>
            </w:pPr>
            <w:r/>
            <w:r>
              <w:rPr>
                <w:sz w:val="17"/>
              </w:rPr>
              <w:t>By 23/12/2026</w:t>
            </w:r>
          </w:p>
        </w:tc>
      </w:tr>
      <w:tr>
        <w:trPr>
          <w:cantSplit/>
        </w:trPr>
        <w:tc>
          <w:tcPr>
            <w:tcW w:type="dxa" w:w="5783"/>
          </w:tcPr>
          <w:p>
            <w:pPr>
              <w:spacing w:after="20"/>
            </w:pPr>
            <w:r/>
            <w:r>
              <w:rPr>
                <w:sz w:val="17"/>
              </w:rPr>
              <w:t>Pilot data collection (two weeks)</w:t>
            </w:r>
          </w:p>
        </w:tc>
        <w:tc>
          <w:tcPr>
            <w:tcW w:type="dxa" w:w="3855"/>
          </w:tcPr>
          <w:p>
            <w:pPr>
              <w:spacing w:after="20"/>
            </w:pPr>
            <w:r/>
            <w:r>
              <w:rPr>
                <w:sz w:val="17"/>
              </w:rPr>
              <w:t>11/01/2027 to 22/01/2027</w:t>
            </w:r>
          </w:p>
        </w:tc>
      </w:tr>
      <w:tr>
        <w:trPr>
          <w:cantSplit/>
        </w:trPr>
        <w:tc>
          <w:tcPr>
            <w:tcW w:type="dxa" w:w="5783"/>
            <w:shd w:val="clear" w:color="auto" w:fill="F7F7F7"/>
          </w:tcPr>
          <w:p>
            <w:pPr>
              <w:spacing w:after="20"/>
            </w:pPr>
            <w:r/>
            <w:r>
              <w:rPr>
                <w:sz w:val="17"/>
              </w:rPr>
              <w:t>Pilot review meeting and approval to proceed</w:t>
            </w:r>
          </w:p>
        </w:tc>
        <w:tc>
          <w:tcPr>
            <w:tcW w:type="dxa" w:w="3855"/>
            <w:shd w:val="clear" w:color="auto" w:fill="F7F7F7"/>
          </w:tcPr>
          <w:p>
            <w:pPr>
              <w:spacing w:after="20"/>
            </w:pPr>
            <w:r/>
            <w:r>
              <w:rPr>
                <w:sz w:val="17"/>
              </w:rPr>
              <w:t>28/01/2027</w:t>
            </w:r>
          </w:p>
        </w:tc>
      </w:tr>
      <w:tr>
        <w:trPr>
          <w:cantSplit/>
        </w:trPr>
        <w:tc>
          <w:tcPr>
            <w:tcW w:type="dxa" w:w="5783"/>
          </w:tcPr>
          <w:p>
            <w:pPr>
              <w:spacing w:after="20"/>
            </w:pPr>
            <w:r/>
            <w:r>
              <w:rPr>
                <w:sz w:val="17"/>
              </w:rPr>
              <w:t>Network capture, all selected classes</w:t>
            </w:r>
          </w:p>
        </w:tc>
        <w:tc>
          <w:tcPr>
            <w:tcW w:type="dxa" w:w="3855"/>
          </w:tcPr>
          <w:p>
            <w:pPr>
              <w:spacing w:after="20"/>
            </w:pPr>
            <w:r/>
            <w:r>
              <w:rPr>
                <w:sz w:val="17"/>
              </w:rPr>
              <w:t>01/02/2027 to 05/03/2027</w:t>
            </w:r>
          </w:p>
        </w:tc>
      </w:tr>
      <w:tr>
        <w:trPr>
          <w:cantSplit/>
        </w:trPr>
        <w:tc>
          <w:tcPr>
            <w:tcW w:type="dxa" w:w="5783"/>
            <w:shd w:val="clear" w:color="auto" w:fill="F7F7F7"/>
          </w:tcPr>
          <w:p>
            <w:pPr>
              <w:spacing w:after="20"/>
            </w:pPr>
            <w:r/>
            <w:r>
              <w:rPr>
                <w:sz w:val="17"/>
              </w:rPr>
              <w:t>Weekly rated data and imagery drops to JCE</w:t>
            </w:r>
          </w:p>
        </w:tc>
        <w:tc>
          <w:tcPr>
            <w:tcW w:type="dxa" w:w="3855"/>
            <w:shd w:val="clear" w:color="auto" w:fill="F7F7F7"/>
          </w:tcPr>
          <w:p>
            <w:pPr>
              <w:spacing w:after="20"/>
            </w:pPr>
            <w:r/>
            <w:r>
              <w:rPr>
                <w:sz w:val="17"/>
              </w:rPr>
              <w:t>From 08/02/2027</w:t>
            </w:r>
          </w:p>
        </w:tc>
      </w:tr>
      <w:tr>
        <w:trPr>
          <w:cantSplit/>
        </w:trPr>
        <w:tc>
          <w:tcPr>
            <w:tcW w:type="dxa" w:w="5783"/>
          </w:tcPr>
          <w:p>
            <w:pPr>
              <w:spacing w:after="20"/>
            </w:pPr>
            <w:r/>
            <w:r>
              <w:rPr>
                <w:sz w:val="17"/>
              </w:rPr>
              <w:t>Final rated data, imagery and QA records to JCE</w:t>
            </w:r>
          </w:p>
        </w:tc>
        <w:tc>
          <w:tcPr>
            <w:tcW w:type="dxa" w:w="3855"/>
          </w:tcPr>
          <w:p>
            <w:pPr>
              <w:spacing w:after="20"/>
            </w:pPr>
            <w:r/>
            <w:r>
              <w:rPr>
                <w:sz w:val="17"/>
              </w:rPr>
              <w:t>Friday 05/03/2027 (corrections by 10/03/2027)</w:t>
            </w:r>
          </w:p>
        </w:tc>
      </w:tr>
    </w:tbl>
    <w:p>
      <w:pPr>
        <w:spacing w:after="40"/>
      </w:pPr>
    </w:p>
    <w:p>
      <w:r>
        <w:rPr>
          <w:i w:val="0"/>
        </w:rPr>
        <w:t>Please confirm you can meet this program and state the crews, vehicles and equipment you will commit. If five weeks of network capture is too short, propose how you would meet Council's 31/03/2027 deadline.</w:t>
      </w:r>
    </w:p>
    <w:p>
      <w:pPr>
        <w:pStyle w:val="Heading1"/>
        <w:pBdr>
          <w:bottom w:val="single" w:sz="6" w:space="1" w:color="C9A227"/>
        </w:pBdr>
      </w:pPr>
      <w:r>
        <w:t>4.0   Information provided</w:t>
      </w:r>
    </w:p>
    <w:p>
      <w:pPr>
        <w:pStyle w:val="ListBullet"/>
        <w:spacing w:after="40"/>
      </w:pPr>
      <w:r>
        <w:t>This RFQ, with Council's Scope table reproduced above.</w:t>
      </w:r>
    </w:p>
    <w:p>
      <w:pPr>
        <w:pStyle w:val="ListBullet"/>
        <w:spacing w:after="40"/>
      </w:pPr>
      <w:r>
        <w:t>Council's Contractor Brief (Scope_Spec, 14 pages), Scope table (.xlsx) and draft Consultancy Agreement, attached for preparing your quotation only.</w:t>
      </w:r>
    </w:p>
    <w:p>
      <w:pPr>
        <w:pStyle w:val="ListBullet"/>
        <w:spacing w:after="40"/>
      </w:pPr>
      <w:r>
        <w:t>No addenda have been issued as at 12/10/2026. JCE will forward any addenda Council issues before 21/10/2026.</w:t>
      </w:r>
    </w:p>
    <w:p>
      <w:pPr>
        <w:pStyle w:val="Heading1"/>
        <w:pBdr>
          <w:bottom w:val="single" w:sz="6" w:space="1" w:color="C9A227"/>
        </w:pBdr>
      </w:pPr>
      <w:r>
        <w:t>5.0   Insurances</w:t>
      </w:r>
    </w:p>
    <w:p>
      <w:pPr>
        <w:pStyle w:val="ListBullet"/>
        <w:spacing w:after="40"/>
      </w:pPr>
      <w:r>
        <w:rPr>
          <w:b/>
        </w:rPr>
        <w:t xml:space="preserve">Public liability: </w:t>
      </w:r>
      <w:r>
        <w:t>$20 million per occurrence (Council's level, Schedule 1 of the RFT and the Consultancy Agreement).</w:t>
      </w:r>
    </w:p>
    <w:p>
      <w:pPr>
        <w:pStyle w:val="ListBullet"/>
        <w:spacing w:after="40"/>
      </w:pPr>
      <w:r>
        <w:rPr>
          <w:b/>
        </w:rPr>
        <w:t xml:space="preserve">Professional indemnity: </w:t>
      </w:r>
      <w:r>
        <w:t>$10 million per claim and in the aggregate, maintained for seven (7) years after completion of the Services (clause 12.4).</w:t>
      </w:r>
    </w:p>
    <w:p>
      <w:pPr>
        <w:pStyle w:val="ListBullet"/>
        <w:spacing w:after="40"/>
      </w:pPr>
      <w:r>
        <w:rPr>
          <w:b/>
        </w:rPr>
        <w:t xml:space="preserve">Workers compensation: </w:t>
      </w:r>
      <w:r>
        <w:t>as required by law, with a current certificate of currency.</w:t>
      </w:r>
    </w:p>
    <w:p>
      <w:pPr>
        <w:pStyle w:val="ListBullet"/>
        <w:spacing w:after="40"/>
      </w:pPr>
      <w:r>
        <w:rPr>
          <w:b/>
        </w:rPr>
        <w:t xml:space="preserve">Motor vehicle: </w:t>
      </w:r>
      <w:r>
        <w:t>comprehensive or third-party property cover for every vehicle used on the project (JCE requirement).</w:t>
      </w:r>
    </w:p>
    <w:p>
      <w:pPr>
        <w:pStyle w:val="ListBullet"/>
        <w:spacing w:after="40"/>
      </w:pPr>
      <w:r>
        <w:rPr>
          <w:b/>
        </w:rPr>
        <w:t xml:space="preserve">Certificates: </w:t>
      </w:r>
      <w:r>
        <w:t>please attach certificates of currency for each policy. Council lists each key subcontractor's insurances in Returnable 13. If any cover is below these levels, state your current level and whether you will lift it on award.</w:t>
      </w:r>
    </w:p>
    <w:p>
      <w:pPr>
        <w:pStyle w:val="Heading1"/>
        <w:pBdr>
          <w:bottom w:val="single" w:sz="6" w:space="1" w:color="C9A227"/>
        </w:pBdr>
      </w:pPr>
      <w:r>
        <w:t>6.0   Requirements</w:t>
      </w:r>
    </w:p>
    <w:p>
      <w:pPr>
        <w:pStyle w:val="ListBullet"/>
        <w:spacing w:after="40"/>
      </w:pPr>
      <w:r>
        <w:rPr>
          <w:b/>
        </w:rPr>
        <w:t xml:space="preserve">Approved subcontractor. </w:t>
      </w:r>
      <w:r>
        <w:t>Council allows subcontracting only to the Approved Subcontractors named in the tender (clause 4). JCE will name your firm and key staff in Returnables 12 and 13 if you agree.</w:t>
      </w:r>
    </w:p>
    <w:p>
      <w:pPr>
        <w:pStyle w:val="ListBullet"/>
        <w:spacing w:after="40"/>
      </w:pPr>
      <w:r>
        <w:rPr>
          <w:b/>
        </w:rPr>
        <w:t xml:space="preserve">Contract terms to flow down. </w:t>
      </w:r>
      <w:r>
        <w:t>Part 4 of the Civil Liability Act 2002 (NSW) (proportionate liability) does not apply (clause 12.7); liability is capped at the greater of the fee and the amounts recoverable under the required insurances (clause 11.3 and Schedule 1); Council owns the Materials, and you keep your working papers and pre-existing IP (clause 13); termination for convenience on 20 business days (clause 14.1). Please note any terms you cannot accept.</w:t>
      </w:r>
    </w:p>
    <w:p>
      <w:pPr>
        <w:pStyle w:val="ListBullet"/>
        <w:spacing w:after="40"/>
      </w:pPr>
      <w:r>
        <w:rPr>
          <w:b/>
        </w:rPr>
        <w:t xml:space="preserve">Work health and safety. </w:t>
      </w:r>
      <w:r>
        <w:t>A documented WHS system, Safe Work Method Statements for the work (including work near traffic, with traffic guidance schemes by accredited controllers where needed), induction of all staff, incident reporting to JCE within 24 hours, and compliance with JCE's Subconsultant and Contractor WHS Management Procedure (JCE-WHS-PRO-009). Council's WHS Checklist asks for a traffic management plan example: please attach one.</w:t>
      </w:r>
    </w:p>
    <w:p>
      <w:pPr>
        <w:pStyle w:val="ListBullet"/>
        <w:spacing w:after="40"/>
      </w:pPr>
      <w:r>
        <w:rPr>
          <w:b/>
        </w:rPr>
        <w:t xml:space="preserve">Compliance registration. </w:t>
      </w:r>
      <w:r>
        <w:t>You may be required to register with Council's compliance provider, BNG Conserve, at your cost (clause 12.6).</w:t>
      </w:r>
    </w:p>
    <w:p>
      <w:pPr>
        <w:pStyle w:val="ListBullet"/>
        <w:spacing w:after="40"/>
      </w:pPr>
      <w:r>
        <w:rPr>
          <w:b/>
        </w:rPr>
        <w:t xml:space="preserve">Modern slavery. </w:t>
      </w:r>
      <w:r>
        <w:t>Please confirm that you have a modern slavery policy or will comply with JCE's Modern Slavery Policy (JCE-WHS-POL-003).</w:t>
      </w:r>
    </w:p>
    <w:p>
      <w:pPr>
        <w:pStyle w:val="ListBullet"/>
        <w:spacing w:after="40"/>
      </w:pPr>
      <w:r>
        <w:rPr>
          <w:b/>
        </w:rPr>
        <w:t xml:space="preserve">Experience for the tender. </w:t>
      </w:r>
      <w:r>
        <w:t>Council scores the qualifications and experience of key subcontractors and asks for at least three similar projects in the last five years with referees (Returnable 11). Please give two to three comparable council projects with the client, quantities, year, value, your role and a referee who has agreed to be contacted, plus a company profile and CVs of key staff.</w:t>
      </w:r>
    </w:p>
    <w:p>
      <w:pPr>
        <w:pStyle w:val="Heading1"/>
        <w:pBdr>
          <w:bottom w:val="single" w:sz="6" w:space="1" w:color="C9A227"/>
        </w:pBdr>
      </w:pPr>
      <w:r>
        <w:t>7.0   Pricing schedule</w:t>
      </w:r>
    </w:p>
    <w:p>
      <w:r>
        <w:rPr>
          <w:i w:val="0"/>
        </w:rPr>
        <w:t>Please price each item as a lump sum (excl. GST) and give the unit rate where shown, for adjusting optional quantities. JCE adds its own mark-up: do not include it. Quantities are Council's estimates; the lump sums must cover all assets found, as in Council's RFT.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688"/>
        <w:gridCol w:w="4475"/>
        <w:gridCol w:w="1033"/>
        <w:gridCol w:w="947"/>
        <w:gridCol w:w="1205"/>
        <w:gridCol w:w="1291"/>
      </w:tblGrid>
      <w:tr>
        <w:trPr>
          <w:tblHeader/>
          <w:cantSplit/>
        </w:trPr>
        <w:tc>
          <w:tcPr>
            <w:tcW w:type="dxa" w:w="688"/>
            <w:shd w:val="clear" w:color="auto" w:fill="000000"/>
          </w:tcPr>
          <w:p>
            <w:pPr>
              <w:keepNext/>
            </w:pPr>
            <w:r/>
            <w:r>
              <w:rPr>
                <w:b/>
                <w:color w:val="FFFFFF"/>
                <w:sz w:val="17"/>
              </w:rPr>
              <w:t>Item</w:t>
            </w:r>
          </w:p>
        </w:tc>
        <w:tc>
          <w:tcPr>
            <w:tcW w:type="dxa" w:w="4475"/>
            <w:shd w:val="clear" w:color="auto" w:fill="000000"/>
          </w:tcPr>
          <w:p>
            <w:pPr>
              <w:keepNext/>
            </w:pPr>
            <w:r/>
            <w:r>
              <w:rPr>
                <w:b/>
                <w:color w:val="FFFFFF"/>
                <w:sz w:val="17"/>
              </w:rPr>
              <w:t>Description</w:t>
            </w:r>
          </w:p>
        </w:tc>
        <w:tc>
          <w:tcPr>
            <w:tcW w:type="dxa" w:w="1033"/>
            <w:shd w:val="clear" w:color="auto" w:fill="000000"/>
          </w:tcPr>
          <w:p>
            <w:pPr>
              <w:keepNext/>
            </w:pPr>
            <w:r/>
            <w:r>
              <w:rPr>
                <w:b/>
                <w:color w:val="FFFFFF"/>
                <w:sz w:val="17"/>
              </w:rPr>
              <w:t>Unit</w:t>
            </w:r>
          </w:p>
        </w:tc>
        <w:tc>
          <w:tcPr>
            <w:tcW w:type="dxa" w:w="947"/>
            <w:shd w:val="clear" w:color="auto" w:fill="000000"/>
          </w:tcPr>
          <w:p>
            <w:pPr>
              <w:keepNext/>
            </w:pPr>
            <w:r/>
            <w:r>
              <w:rPr>
                <w:b/>
                <w:color w:val="FFFFFF"/>
                <w:sz w:val="17"/>
              </w:rPr>
              <w:t>Qty</w:t>
            </w:r>
          </w:p>
        </w:tc>
        <w:tc>
          <w:tcPr>
            <w:tcW w:type="dxa" w:w="1205"/>
            <w:shd w:val="clear" w:color="auto" w:fill="000000"/>
          </w:tcPr>
          <w:p>
            <w:pPr>
              <w:keepNext/>
            </w:pPr>
            <w:r/>
            <w:r>
              <w:rPr>
                <w:b/>
                <w:color w:val="FFFFFF"/>
                <w:sz w:val="17"/>
              </w:rPr>
              <w:t>Unit rate ($)</w:t>
            </w:r>
          </w:p>
        </w:tc>
        <w:tc>
          <w:tcPr>
            <w:tcW w:type="dxa" w:w="1291"/>
            <w:shd w:val="clear" w:color="auto" w:fill="000000"/>
          </w:tcPr>
          <w:p>
            <w:pPr>
              <w:keepNext/>
            </w:pPr>
            <w:r/>
            <w:r>
              <w:rPr>
                <w:b/>
                <w:color w:val="FFFFFF"/>
                <w:sz w:val="17"/>
              </w:rPr>
              <w:t>Lump sum ($)</w:t>
            </w:r>
          </w:p>
        </w:tc>
      </w:tr>
      <w:tr>
        <w:trPr>
          <w:cantSplit/>
        </w:trPr>
        <w:tc>
          <w:tcPr>
            <w:tcW w:type="dxa" w:w="688"/>
          </w:tcPr>
          <w:p>
            <w:pPr>
              <w:keepNext/>
              <w:spacing w:after="20"/>
            </w:pPr>
            <w:r/>
            <w:r>
              <w:rPr>
                <w:sz w:val="17"/>
              </w:rPr>
              <w:t>C1</w:t>
            </w:r>
          </w:p>
        </w:tc>
        <w:tc>
          <w:tcPr>
            <w:tcW w:type="dxa" w:w="4475"/>
          </w:tcPr>
          <w:p>
            <w:pPr>
              <w:keepNext/>
              <w:spacing w:after="20"/>
            </w:pPr>
            <w:r/>
            <w:r>
              <w:rPr>
                <w:sz w:val="17"/>
              </w:rPr>
              <w:t>Mobilisation, field trial, two-week pilot and changes from Council's review</w:t>
            </w:r>
          </w:p>
        </w:tc>
        <w:tc>
          <w:tcPr>
            <w:tcW w:type="dxa" w:w="1033"/>
          </w:tcPr>
          <w:p>
            <w:pPr>
              <w:keepNext/>
              <w:spacing w:after="20"/>
            </w:pPr>
            <w:r/>
            <w:r>
              <w:rPr>
                <w:sz w:val="17"/>
              </w:rPr>
              <w:t>lump</w:t>
            </w:r>
          </w:p>
        </w:tc>
        <w:tc>
          <w:tcPr>
            <w:tcW w:type="dxa" w:w="947"/>
          </w:tcPr>
          <w:p>
            <w:pPr>
              <w:keepNext/>
              <w:spacing w:after="20"/>
            </w:pPr>
            <w:r/>
            <w:r>
              <w:rPr>
                <w:sz w:val="17"/>
              </w:rPr>
              <w:t>1</w:t>
            </w:r>
          </w:p>
        </w:tc>
        <w:tc>
          <w:tcPr>
            <w:tcW w:type="dxa" w:w="1205"/>
          </w:tcPr>
          <w:p>
            <w:pPr>
              <w:keepNext/>
              <w:spacing w:after="20"/>
            </w:pPr>
            <w:r/>
            <w:r>
              <w:rPr>
                <w:sz w:val="17"/>
              </w:rPr>
              <w:t>n/a</w:t>
            </w:r>
          </w:p>
        </w:tc>
        <w:tc>
          <w:tcPr>
            <w:tcW w:type="dxa" w:w="1291"/>
          </w:tcPr>
          <w:p>
            <w:pPr>
              <w:keepNext/>
              <w:spacing w:after="20"/>
            </w:pPr>
            <w:r/>
            <w:r>
              <w:rPr>
                <w:sz w:val="17"/>
              </w:rPr>
            </w:r>
          </w:p>
        </w:tc>
      </w:tr>
      <w:tr>
        <w:trPr>
          <w:cantSplit/>
        </w:trPr>
        <w:tc>
          <w:tcPr>
            <w:tcW w:type="dxa" w:w="688"/>
            <w:shd w:val="clear" w:color="auto" w:fill="F7F7F7"/>
          </w:tcPr>
          <w:p>
            <w:pPr>
              <w:spacing w:after="20"/>
            </w:pPr>
            <w:r/>
            <w:r>
              <w:rPr>
                <w:sz w:val="17"/>
              </w:rPr>
              <w:t>C2</w:t>
            </w:r>
          </w:p>
        </w:tc>
        <w:tc>
          <w:tcPr>
            <w:tcW w:type="dxa" w:w="4475"/>
            <w:shd w:val="clear" w:color="auto" w:fill="F7F7F7"/>
          </w:tcPr>
          <w:p>
            <w:pPr>
              <w:spacing w:after="20"/>
            </w:pPr>
            <w:r/>
            <w:r>
              <w:rPr>
                <w:sz w:val="17"/>
              </w:rPr>
              <w:t>Roads: inventory, widths, overall and 50 m condition, defects</w:t>
            </w:r>
          </w:p>
        </w:tc>
        <w:tc>
          <w:tcPr>
            <w:tcW w:type="dxa" w:w="1033"/>
            <w:shd w:val="clear" w:color="auto" w:fill="F7F7F7"/>
          </w:tcPr>
          <w:p>
            <w:pPr>
              <w:spacing w:after="20"/>
            </w:pPr>
            <w:r/>
            <w:r>
              <w:rPr>
                <w:sz w:val="17"/>
              </w:rPr>
              <w:t>km</w:t>
            </w:r>
          </w:p>
        </w:tc>
        <w:tc>
          <w:tcPr>
            <w:tcW w:type="dxa" w:w="947"/>
            <w:shd w:val="clear" w:color="auto" w:fill="F7F7F7"/>
          </w:tcPr>
          <w:p>
            <w:pPr>
              <w:spacing w:after="20"/>
            </w:pPr>
            <w:r/>
            <w:r>
              <w:rPr>
                <w:sz w:val="17"/>
              </w:rPr>
              <w:t>464</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C3</w:t>
            </w:r>
          </w:p>
        </w:tc>
        <w:tc>
          <w:tcPr>
            <w:tcW w:type="dxa" w:w="4475"/>
          </w:tcPr>
          <w:p>
            <w:pPr>
              <w:spacing w:after="20"/>
            </w:pPr>
            <w:r/>
            <w:r>
              <w:rPr>
                <w:sz w:val="17"/>
              </w:rPr>
              <w:t>Footpaths: widths and areas, overall and 20 m condition, defects and lifts</w:t>
            </w:r>
          </w:p>
        </w:tc>
        <w:tc>
          <w:tcPr>
            <w:tcW w:type="dxa" w:w="1033"/>
          </w:tcPr>
          <w:p>
            <w:pPr>
              <w:spacing w:after="20"/>
            </w:pPr>
            <w:r/>
            <w:r>
              <w:rPr>
                <w:sz w:val="17"/>
              </w:rPr>
              <w:t>km</w:t>
            </w:r>
          </w:p>
        </w:tc>
        <w:tc>
          <w:tcPr>
            <w:tcW w:type="dxa" w:w="947"/>
          </w:tcPr>
          <w:p>
            <w:pPr>
              <w:spacing w:after="20"/>
            </w:pPr>
            <w:r/>
            <w:r>
              <w:rPr>
                <w:sz w:val="17"/>
              </w:rPr>
              <w:t>844</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C4</w:t>
            </w:r>
          </w:p>
        </w:tc>
        <w:tc>
          <w:tcPr>
            <w:tcW w:type="dxa" w:w="4475"/>
            <w:shd w:val="clear" w:color="auto" w:fill="F7F7F7"/>
          </w:tcPr>
          <w:p>
            <w:pPr>
              <w:spacing w:after="20"/>
            </w:pPr>
            <w:r/>
            <w:r>
              <w:rPr>
                <w:sz w:val="17"/>
              </w:rPr>
              <w:t>Kerb and gutter: overall and 10 m condition, defects</w:t>
            </w:r>
          </w:p>
        </w:tc>
        <w:tc>
          <w:tcPr>
            <w:tcW w:type="dxa" w:w="1033"/>
            <w:shd w:val="clear" w:color="auto" w:fill="F7F7F7"/>
          </w:tcPr>
          <w:p>
            <w:pPr>
              <w:spacing w:after="20"/>
            </w:pPr>
            <w:r/>
            <w:r>
              <w:rPr>
                <w:sz w:val="17"/>
              </w:rPr>
              <w:t>km</w:t>
            </w:r>
          </w:p>
        </w:tc>
        <w:tc>
          <w:tcPr>
            <w:tcW w:type="dxa" w:w="947"/>
            <w:shd w:val="clear" w:color="auto" w:fill="F7F7F7"/>
          </w:tcPr>
          <w:p>
            <w:pPr>
              <w:spacing w:after="20"/>
            </w:pPr>
            <w:r/>
            <w:r>
              <w:rPr>
                <w:sz w:val="17"/>
              </w:rPr>
              <w:t>865.9</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C5</w:t>
            </w:r>
          </w:p>
        </w:tc>
        <w:tc>
          <w:tcPr>
            <w:tcW w:type="dxa" w:w="4475"/>
          </w:tcPr>
          <w:p>
            <w:pPr>
              <w:spacing w:after="20"/>
            </w:pPr>
            <w:r/>
            <w:r>
              <w:rPr>
                <w:sz w:val="17"/>
              </w:rPr>
              <w:t>Traffic devices (4,885); street furniture (5,972); artwork</w:t>
            </w:r>
          </w:p>
        </w:tc>
        <w:tc>
          <w:tcPr>
            <w:tcW w:type="dxa" w:w="1033"/>
          </w:tcPr>
          <w:p>
            <w:pPr>
              <w:spacing w:after="20"/>
            </w:pPr>
            <w:r/>
            <w:r>
              <w:rPr>
                <w:sz w:val="17"/>
              </w:rPr>
              <w:t>each / lump</w:t>
            </w:r>
          </w:p>
        </w:tc>
        <w:tc>
          <w:tcPr>
            <w:tcW w:type="dxa" w:w="947"/>
          </w:tcPr>
          <w:p>
            <w:pPr>
              <w:spacing w:after="20"/>
            </w:pPr>
            <w:r/>
            <w:r>
              <w:rPr>
                <w:sz w:val="17"/>
              </w:rPr>
              <w:t>10,857+</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C6</w:t>
            </w:r>
          </w:p>
        </w:tc>
        <w:tc>
          <w:tcPr>
            <w:tcW w:type="dxa" w:w="4475"/>
            <w:shd w:val="clear" w:color="auto" w:fill="F7F7F7"/>
          </w:tcPr>
          <w:p>
            <w:pPr>
              <w:spacing w:after="20"/>
            </w:pPr>
            <w:r/>
            <w:r>
              <w:rPr>
                <w:sz w:val="17"/>
              </w:rPr>
              <w:t>Car park surfaces (81 locations) and car park assets (1,533)</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C7</w:t>
            </w:r>
          </w:p>
        </w:tc>
        <w:tc>
          <w:tcPr>
            <w:tcW w:type="dxa" w:w="4475"/>
          </w:tcPr>
          <w:p>
            <w:pPr>
              <w:spacing w:after="20"/>
            </w:pPr>
            <w:r/>
            <w:r>
              <w:rPr>
                <w:sz w:val="17"/>
              </w:rPr>
              <w:t>White way lighting (new class)</w:t>
            </w:r>
          </w:p>
        </w:tc>
        <w:tc>
          <w:tcPr>
            <w:tcW w:type="dxa" w:w="1033"/>
          </w:tcPr>
          <w:p>
            <w:pPr>
              <w:spacing w:after="20"/>
            </w:pPr>
            <w:r/>
            <w:r>
              <w:rPr>
                <w:sz w:val="17"/>
              </w:rPr>
              <w:t>each</w:t>
            </w:r>
          </w:p>
        </w:tc>
        <w:tc>
          <w:tcPr>
            <w:tcW w:type="dxa" w:w="947"/>
          </w:tcPr>
          <w:p>
            <w:pPr>
              <w:spacing w:after="20"/>
            </w:pPr>
            <w:r/>
            <w:r>
              <w:rPr>
                <w:sz w:val="17"/>
              </w:rPr>
              <w:t>1,500+</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C8</w:t>
            </w:r>
          </w:p>
        </w:tc>
        <w:tc>
          <w:tcPr>
            <w:tcW w:type="dxa" w:w="4475"/>
            <w:shd w:val="clear" w:color="auto" w:fill="F7F7F7"/>
          </w:tcPr>
          <w:p>
            <w:pPr>
              <w:spacing w:after="20"/>
            </w:pPr>
            <w:r/>
            <w:r>
              <w:rPr>
                <w:sz w:val="17"/>
              </w:rPr>
              <w:t>Signage, all types, categorised</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50,000+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C9</w:t>
            </w:r>
          </w:p>
        </w:tc>
        <w:tc>
          <w:tcPr>
            <w:tcW w:type="dxa" w:w="4475"/>
          </w:tcPr>
          <w:p>
            <w:pPr>
              <w:spacing w:after="20"/>
            </w:pPr>
            <w:r/>
            <w:r>
              <w:rPr>
                <w:sz w:val="17"/>
              </w:rPr>
              <w:t>Bicycle route identifiers and on-road bicycle lanes</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C10</w:t>
            </w:r>
          </w:p>
        </w:tc>
        <w:tc>
          <w:tcPr>
            <w:tcW w:type="dxa" w:w="4475"/>
            <w:shd w:val="clear" w:color="auto" w:fill="F7F7F7"/>
          </w:tcPr>
          <w:p>
            <w:pPr>
              <w:spacing w:after="20"/>
            </w:pPr>
            <w:r/>
            <w:r>
              <w:rPr>
                <w:sz w:val="17"/>
              </w:rPr>
              <w:t>Data packaging to JCE's capture schema, GNSS post-processing and photo metadata (JCE builds shapefiles, Excel database and register updates)</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r>
          </w:p>
        </w:tc>
        <w:tc>
          <w:tcPr>
            <w:tcW w:type="dxa" w:w="4475"/>
          </w:tcPr>
          <w:p>
            <w:pPr>
              <w:spacing w:after="20"/>
            </w:pPr>
            <w:r/>
            <w:r>
              <w:rPr>
                <w:sz w:val="17"/>
              </w:rPr>
              <w:t>Total lump sum, mandatory classes C1 to C10 (excl. GST)</w:t>
            </w:r>
          </w:p>
        </w:tc>
        <w:tc>
          <w:tcPr>
            <w:tcW w:type="dxa" w:w="1033"/>
          </w:tcPr>
          <w:p>
            <w:pPr>
              <w:spacing w:after="20"/>
            </w:pPr>
            <w:r/>
            <w:r>
              <w:rPr>
                <w:sz w:val="17"/>
              </w:rPr>
            </w:r>
          </w:p>
        </w:tc>
        <w:tc>
          <w:tcPr>
            <w:tcW w:type="dxa" w:w="947"/>
          </w:tcPr>
          <w:p>
            <w:pPr>
              <w:spacing w:after="20"/>
            </w:pPr>
            <w:r/>
            <w:r>
              <w:rPr>
                <w:sz w:val="17"/>
              </w:rPr>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O4</w:t>
            </w:r>
          </w:p>
        </w:tc>
        <w:tc>
          <w:tcPr>
            <w:tcW w:type="dxa" w:w="4475"/>
            <w:shd w:val="clear" w:color="auto" w:fill="F7F7F7"/>
          </w:tcPr>
          <w:p>
            <w:pPr>
              <w:spacing w:after="20"/>
            </w:pPr>
            <w:r/>
            <w:r>
              <w:rPr>
                <w:sz w:val="17"/>
              </w:rPr>
              <w:t>Optional: kerb and pram ramps with DDA checks</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8,000+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O5</w:t>
            </w:r>
          </w:p>
        </w:tc>
        <w:tc>
          <w:tcPr>
            <w:tcW w:type="dxa" w:w="4475"/>
          </w:tcPr>
          <w:p>
            <w:pPr>
              <w:spacing w:after="20"/>
            </w:pPr>
            <w:r/>
            <w:r>
              <w:rPr>
                <w:sz w:val="17"/>
              </w:rPr>
              <w:t>Optional: tree pits and verge gardens</w:t>
            </w:r>
          </w:p>
        </w:tc>
        <w:tc>
          <w:tcPr>
            <w:tcW w:type="dxa" w:w="1033"/>
          </w:tcPr>
          <w:p>
            <w:pPr>
              <w:spacing w:after="20"/>
            </w:pPr>
            <w:r/>
            <w:r>
              <w:rPr>
                <w:sz w:val="17"/>
              </w:rPr>
              <w:t>each</w:t>
            </w:r>
          </w:p>
        </w:tc>
        <w:tc>
          <w:tcPr>
            <w:tcW w:type="dxa" w:w="947"/>
          </w:tcPr>
          <w:p>
            <w:pPr>
              <w:spacing w:after="20"/>
            </w:pPr>
            <w:r/>
            <w:r>
              <w:rPr>
                <w:sz w:val="17"/>
              </w:rPr>
              <w:t>15,350+</w:t>
            </w:r>
          </w:p>
        </w:tc>
        <w:tc>
          <w:tcPr>
            <w:tcW w:type="dxa" w:w="1205"/>
          </w:tcPr>
          <w:p>
            <w:pPr>
              <w:spacing w:after="20"/>
            </w:pPr>
            <w:r/>
            <w:r>
              <w:rPr>
                <w:sz w:val="17"/>
              </w:rPr>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O6</w:t>
            </w:r>
          </w:p>
        </w:tc>
        <w:tc>
          <w:tcPr>
            <w:tcW w:type="dxa" w:w="4475"/>
            <w:shd w:val="clear" w:color="auto" w:fill="F7F7F7"/>
          </w:tcPr>
          <w:p>
            <w:pPr>
              <w:spacing w:after="20"/>
            </w:pPr>
            <w:r/>
            <w:r>
              <w:rPr>
                <w:sz w:val="17"/>
              </w:rPr>
              <w:t>Optional: vehicle crossings</w:t>
            </w:r>
          </w:p>
        </w:tc>
        <w:tc>
          <w:tcPr>
            <w:tcW w:type="dxa" w:w="1033"/>
            <w:shd w:val="clear" w:color="auto" w:fill="F7F7F7"/>
          </w:tcPr>
          <w:p>
            <w:pPr>
              <w:spacing w:after="20"/>
            </w:pPr>
            <w:r/>
            <w:r>
              <w:rPr>
                <w:sz w:val="17"/>
              </w:rPr>
              <w:t>each</w:t>
            </w:r>
          </w:p>
        </w:tc>
        <w:tc>
          <w:tcPr>
            <w:tcW w:type="dxa" w:w="947"/>
            <w:shd w:val="clear" w:color="auto" w:fill="F7F7F7"/>
          </w:tcPr>
          <w:p>
            <w:pPr>
              <w:spacing w:after="20"/>
            </w:pPr>
            <w:r/>
            <w:r>
              <w:rPr>
                <w:sz w:val="17"/>
              </w:rPr>
              <w:t>34,300+</w:t>
            </w:r>
          </w:p>
        </w:tc>
        <w:tc>
          <w:tcPr>
            <w:tcW w:type="dxa" w:w="1205"/>
            <w:shd w:val="clear" w:color="auto" w:fill="F7F7F7"/>
          </w:tcPr>
          <w:p>
            <w:pPr>
              <w:spacing w:after="20"/>
            </w:pPr>
            <w:r/>
            <w:r>
              <w:rPr>
                <w:sz w:val="17"/>
              </w:rPr>
            </w:r>
          </w:p>
        </w:tc>
        <w:tc>
          <w:tcPr>
            <w:tcW w:type="dxa" w:w="1291"/>
            <w:shd w:val="clear" w:color="auto" w:fill="F7F7F7"/>
          </w:tcPr>
          <w:p>
            <w:pPr>
              <w:spacing w:after="20"/>
            </w:pPr>
            <w:r/>
            <w:r>
              <w:rPr>
                <w:sz w:val="17"/>
              </w:rPr>
            </w:r>
          </w:p>
        </w:tc>
      </w:tr>
      <w:tr>
        <w:trPr>
          <w:cantSplit/>
        </w:trPr>
        <w:tc>
          <w:tcPr>
            <w:tcW w:type="dxa" w:w="688"/>
          </w:tcPr>
          <w:p>
            <w:pPr>
              <w:spacing w:after="20"/>
            </w:pPr>
            <w:r/>
            <w:r>
              <w:rPr>
                <w:sz w:val="17"/>
              </w:rPr>
              <w:t>O7</w:t>
            </w:r>
          </w:p>
        </w:tc>
        <w:tc>
          <w:tcPr>
            <w:tcW w:type="dxa" w:w="4475"/>
          </w:tcPr>
          <w:p>
            <w:pPr>
              <w:spacing w:after="20"/>
            </w:pPr>
            <w:r/>
            <w:r>
              <w:rPr>
                <w:sz w:val="17"/>
              </w:rPr>
              <w:t>Optional: road and footpath markings</w:t>
            </w:r>
          </w:p>
        </w:tc>
        <w:tc>
          <w:tcPr>
            <w:tcW w:type="dxa" w:w="1033"/>
          </w:tcPr>
          <w:p>
            <w:pPr>
              <w:spacing w:after="20"/>
            </w:pPr>
            <w:r/>
            <w:r>
              <w:rPr>
                <w:sz w:val="17"/>
              </w:rPr>
              <w:t>lump</w:t>
            </w:r>
          </w:p>
        </w:tc>
        <w:tc>
          <w:tcPr>
            <w:tcW w:type="dxa" w:w="947"/>
          </w:tcPr>
          <w:p>
            <w:pPr>
              <w:spacing w:after="20"/>
            </w:pPr>
            <w:r/>
            <w:r>
              <w:rPr>
                <w:sz w:val="17"/>
              </w:rPr>
              <w:t>1</w:t>
            </w:r>
          </w:p>
        </w:tc>
        <w:tc>
          <w:tcPr>
            <w:tcW w:type="dxa" w:w="1205"/>
          </w:tcPr>
          <w:p>
            <w:pPr>
              <w:spacing w:after="20"/>
            </w:pPr>
            <w:r/>
            <w:r>
              <w:rPr>
                <w:sz w:val="17"/>
              </w:rPr>
              <w:t>n/a</w:t>
            </w:r>
          </w:p>
        </w:tc>
        <w:tc>
          <w:tcPr>
            <w:tcW w:type="dxa" w:w="1291"/>
          </w:tcPr>
          <w:p>
            <w:pPr>
              <w:spacing w:after="20"/>
            </w:pPr>
            <w:r/>
            <w:r>
              <w:rPr>
                <w:sz w:val="17"/>
              </w:rPr>
            </w:r>
          </w:p>
        </w:tc>
      </w:tr>
      <w:tr>
        <w:trPr>
          <w:cantSplit/>
        </w:trPr>
        <w:tc>
          <w:tcPr>
            <w:tcW w:type="dxa" w:w="688"/>
            <w:shd w:val="clear" w:color="auto" w:fill="F7F7F7"/>
          </w:tcPr>
          <w:p>
            <w:pPr>
              <w:spacing w:after="20"/>
            </w:pPr>
            <w:r/>
            <w:r>
              <w:rPr>
                <w:sz w:val="17"/>
              </w:rPr>
              <w:t>O8</w:t>
            </w:r>
          </w:p>
        </w:tc>
        <w:tc>
          <w:tcPr>
            <w:tcW w:type="dxa" w:w="4475"/>
            <w:shd w:val="clear" w:color="auto" w:fill="F7F7F7"/>
          </w:tcPr>
          <w:p>
            <w:pPr>
              <w:spacing w:after="20"/>
            </w:pPr>
            <w:r/>
            <w:r>
              <w:rPr>
                <w:sz w:val="17"/>
              </w:rPr>
              <w:t>Optional: retaining walls (from street and footpath)</w:t>
            </w:r>
          </w:p>
        </w:tc>
        <w:tc>
          <w:tcPr>
            <w:tcW w:type="dxa" w:w="1033"/>
            <w:shd w:val="clear" w:color="auto" w:fill="F7F7F7"/>
          </w:tcPr>
          <w:p>
            <w:pPr>
              <w:spacing w:after="20"/>
            </w:pPr>
            <w:r/>
            <w:r>
              <w:rPr>
                <w:sz w:val="17"/>
              </w:rPr>
              <w:t>lump</w:t>
            </w:r>
          </w:p>
        </w:tc>
        <w:tc>
          <w:tcPr>
            <w:tcW w:type="dxa" w:w="947"/>
            <w:shd w:val="clear" w:color="auto" w:fill="F7F7F7"/>
          </w:tcPr>
          <w:p>
            <w:pPr>
              <w:spacing w:after="20"/>
            </w:pPr>
            <w:r/>
            <w:r>
              <w:rPr>
                <w:sz w:val="17"/>
              </w:rPr>
              <w:t>1</w:t>
            </w:r>
          </w:p>
        </w:tc>
        <w:tc>
          <w:tcPr>
            <w:tcW w:type="dxa" w:w="1205"/>
            <w:shd w:val="clear" w:color="auto" w:fill="F7F7F7"/>
          </w:tcPr>
          <w:p>
            <w:pPr>
              <w:spacing w:after="20"/>
            </w:pPr>
            <w:r/>
            <w:r>
              <w:rPr>
                <w:sz w:val="17"/>
              </w:rPr>
              <w:t>n/a</w:t>
            </w:r>
          </w:p>
        </w:tc>
        <w:tc>
          <w:tcPr>
            <w:tcW w:type="dxa" w:w="1291"/>
            <w:shd w:val="clear" w:color="auto" w:fill="F7F7F7"/>
          </w:tcPr>
          <w:p>
            <w:pPr>
              <w:spacing w:after="20"/>
            </w:pPr>
            <w:r/>
            <w:r>
              <w:rPr>
                <w:sz w:val="17"/>
              </w:rPr>
            </w:r>
          </w:p>
        </w:tc>
      </w:tr>
    </w:tbl>
    <w:p>
      <w:pPr>
        <w:spacing w:after="40"/>
      </w:pPr>
    </w:p>
    <w:p>
      <w:r>
        <w:rPr>
          <w:i w:val="0"/>
        </w:rPr>
        <w:t>Hourly and unit rates for directed additional work:</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7274"/>
        <w:gridCol w:w="2364"/>
      </w:tblGrid>
      <w:tr>
        <w:trPr>
          <w:tblHeader/>
          <w:cantSplit/>
        </w:trPr>
        <w:tc>
          <w:tcPr>
            <w:tcW w:type="dxa" w:w="7274"/>
            <w:shd w:val="clear" w:color="auto" w:fill="000000"/>
          </w:tcPr>
          <w:p>
            <w:pPr>
              <w:keepNext/>
            </w:pPr>
            <w:r/>
            <w:r>
              <w:rPr>
                <w:b/>
                <w:color w:val="FFFFFF"/>
                <w:sz w:val="17"/>
              </w:rPr>
              <w:t>Rates for directed additional work (excl. GST)</w:t>
            </w:r>
          </w:p>
        </w:tc>
        <w:tc>
          <w:tcPr>
            <w:tcW w:type="dxa" w:w="2364"/>
            <w:shd w:val="clear" w:color="auto" w:fill="000000"/>
          </w:tcPr>
          <w:p>
            <w:pPr>
              <w:keepNext/>
            </w:pPr>
            <w:r/>
            <w:r>
              <w:rPr>
                <w:b/>
                <w:color w:val="FFFFFF"/>
                <w:sz w:val="17"/>
              </w:rPr>
              <w:t>Rate</w:t>
            </w:r>
          </w:p>
        </w:tc>
      </w:tr>
      <w:tr>
        <w:trPr>
          <w:cantSplit/>
        </w:trPr>
        <w:tc>
          <w:tcPr>
            <w:tcW w:type="dxa" w:w="7274"/>
          </w:tcPr>
          <w:p>
            <w:pPr>
              <w:keepNext/>
              <w:spacing w:after="20"/>
            </w:pPr>
            <w:r/>
            <w:r>
              <w:rPr>
                <w:sz w:val="17"/>
              </w:rPr>
              <w:t>Field crew day: two-person crew with vehicle, DGPS and camera (8 hours)</w:t>
            </w:r>
          </w:p>
        </w:tc>
        <w:tc>
          <w:tcPr>
            <w:tcW w:type="dxa" w:w="2364"/>
          </w:tcPr>
          <w:p>
            <w:pPr>
              <w:keepNext/>
              <w:spacing w:after="20"/>
              <w:jc w:val="right"/>
            </w:pPr>
            <w:r/>
            <w:r>
              <w:rPr>
                <w:sz w:val="17"/>
              </w:rPr>
              <w:t>$ / day</w:t>
            </w:r>
          </w:p>
        </w:tc>
      </w:tr>
      <w:tr>
        <w:trPr>
          <w:cantSplit/>
        </w:trPr>
        <w:tc>
          <w:tcPr>
            <w:tcW w:type="dxa" w:w="7274"/>
            <w:shd w:val="clear" w:color="auto" w:fill="F7F7F7"/>
          </w:tcPr>
          <w:p>
            <w:pPr>
              <w:spacing w:after="20"/>
            </w:pPr>
            <w:r/>
            <w:r>
              <w:rPr>
                <w:sz w:val="17"/>
              </w:rPr>
              <w:t>Survey vehicle day (vehicle-mounted imagery), if used</w:t>
            </w:r>
          </w:p>
        </w:tc>
        <w:tc>
          <w:tcPr>
            <w:tcW w:type="dxa" w:w="2364"/>
            <w:shd w:val="clear" w:color="auto" w:fill="F7F7F7"/>
          </w:tcPr>
          <w:p>
            <w:pPr>
              <w:spacing w:after="20"/>
              <w:jc w:val="right"/>
            </w:pPr>
            <w:r/>
            <w:r>
              <w:rPr>
                <w:sz w:val="17"/>
              </w:rPr>
              <w:t>$ / day</w:t>
            </w:r>
          </w:p>
        </w:tc>
      </w:tr>
      <w:tr>
        <w:trPr>
          <w:cantSplit/>
        </w:trPr>
        <w:tc>
          <w:tcPr>
            <w:tcW w:type="dxa" w:w="7274"/>
          </w:tcPr>
          <w:p>
            <w:pPr>
              <w:spacing w:after="20"/>
            </w:pPr>
            <w:r/>
            <w:r>
              <w:rPr>
                <w:sz w:val="17"/>
              </w:rPr>
              <w:t>Project manager</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Field assessor / rater</w:t>
            </w:r>
          </w:p>
        </w:tc>
        <w:tc>
          <w:tcPr>
            <w:tcW w:type="dxa" w:w="2364"/>
            <w:shd w:val="clear" w:color="auto" w:fill="F7F7F7"/>
          </w:tcPr>
          <w:p>
            <w:pPr>
              <w:spacing w:after="20"/>
              <w:jc w:val="right"/>
            </w:pPr>
            <w:r/>
            <w:r>
              <w:rPr>
                <w:sz w:val="17"/>
              </w:rPr>
              <w:t>$ / hour</w:t>
            </w:r>
          </w:p>
        </w:tc>
      </w:tr>
      <w:tr>
        <w:trPr>
          <w:cantSplit/>
        </w:trPr>
        <w:tc>
          <w:tcPr>
            <w:tcW w:type="dxa" w:w="7274"/>
          </w:tcPr>
          <w:p>
            <w:pPr>
              <w:spacing w:after="20"/>
            </w:pPr>
            <w:r/>
            <w:r>
              <w:rPr>
                <w:sz w:val="17"/>
              </w:rPr>
              <w:t>GIS and data processing officer</w:t>
            </w:r>
          </w:p>
        </w:tc>
        <w:tc>
          <w:tcPr>
            <w:tcW w:type="dxa" w:w="2364"/>
          </w:tcPr>
          <w:p>
            <w:pPr>
              <w:spacing w:after="20"/>
              <w:jc w:val="right"/>
            </w:pPr>
            <w:r/>
            <w:r>
              <w:rPr>
                <w:sz w:val="17"/>
              </w:rPr>
              <w:t>$ / hour</w:t>
            </w:r>
          </w:p>
        </w:tc>
      </w:tr>
      <w:tr>
        <w:trPr>
          <w:cantSplit/>
        </w:trPr>
        <w:tc>
          <w:tcPr>
            <w:tcW w:type="dxa" w:w="7274"/>
            <w:shd w:val="clear" w:color="auto" w:fill="F7F7F7"/>
          </w:tcPr>
          <w:p>
            <w:pPr>
              <w:spacing w:after="20"/>
            </w:pPr>
            <w:r/>
            <w:r>
              <w:rPr>
                <w:sz w:val="17"/>
              </w:rPr>
              <w:t>Additional road capture and rating</w:t>
            </w:r>
          </w:p>
        </w:tc>
        <w:tc>
          <w:tcPr>
            <w:tcW w:type="dxa" w:w="2364"/>
            <w:shd w:val="clear" w:color="auto" w:fill="F7F7F7"/>
          </w:tcPr>
          <w:p>
            <w:pPr>
              <w:spacing w:after="20"/>
              <w:jc w:val="right"/>
            </w:pPr>
            <w:r/>
            <w:r>
              <w:rPr>
                <w:sz w:val="17"/>
              </w:rPr>
              <w:t>$ / km</w:t>
            </w:r>
          </w:p>
        </w:tc>
      </w:tr>
      <w:tr>
        <w:trPr>
          <w:cantSplit/>
        </w:trPr>
        <w:tc>
          <w:tcPr>
            <w:tcW w:type="dxa" w:w="7274"/>
          </w:tcPr>
          <w:p>
            <w:pPr>
              <w:spacing w:after="20"/>
            </w:pPr>
            <w:r/>
            <w:r>
              <w:rPr>
                <w:sz w:val="17"/>
              </w:rPr>
              <w:t>Additional footpath capture and rating</w:t>
            </w:r>
          </w:p>
        </w:tc>
        <w:tc>
          <w:tcPr>
            <w:tcW w:type="dxa" w:w="2364"/>
          </w:tcPr>
          <w:p>
            <w:pPr>
              <w:spacing w:after="20"/>
              <w:jc w:val="right"/>
            </w:pPr>
            <w:r/>
            <w:r>
              <w:rPr>
                <w:sz w:val="17"/>
              </w:rPr>
              <w:t>$ / km</w:t>
            </w:r>
          </w:p>
        </w:tc>
      </w:tr>
      <w:tr>
        <w:trPr>
          <w:cantSplit/>
        </w:trPr>
        <w:tc>
          <w:tcPr>
            <w:tcW w:type="dxa" w:w="7274"/>
            <w:shd w:val="clear" w:color="auto" w:fill="F7F7F7"/>
          </w:tcPr>
          <w:p>
            <w:pPr>
              <w:spacing w:after="20"/>
            </w:pPr>
            <w:r/>
            <w:r>
              <w:rPr>
                <w:sz w:val="17"/>
              </w:rPr>
              <w:t>Additional point asset inventory and condition</w:t>
            </w:r>
          </w:p>
        </w:tc>
        <w:tc>
          <w:tcPr>
            <w:tcW w:type="dxa" w:w="2364"/>
            <w:shd w:val="clear" w:color="auto" w:fill="F7F7F7"/>
          </w:tcPr>
          <w:p>
            <w:pPr>
              <w:spacing w:after="20"/>
              <w:jc w:val="right"/>
            </w:pPr>
            <w:r/>
            <w:r>
              <w:rPr>
                <w:sz w:val="17"/>
              </w:rPr>
              <w:t>$ / asset</w:t>
            </w:r>
          </w:p>
        </w:tc>
      </w:tr>
    </w:tbl>
    <w:p>
      <w:pPr>
        <w:spacing w:after="40"/>
      </w:pPr>
    </w:p>
    <w:p>
      <w:pPr>
        <w:pStyle w:val="Heading2"/>
      </w:pPr>
      <w:r>
        <w:t>Exclusions and assumptions</w:t>
      </w:r>
    </w:p>
    <w:p>
      <w:r>
        <w:rPr>
          <w:i w:val="0"/>
        </w:rPr>
        <w:t>Please list every exclusion and assumption. Anything not excluded is taken to be included. JCE will carry your assumptions into its tender only where Council's RFT allows them.</w:t>
      </w:r>
    </w:p>
    <w:p>
      <w:pPr>
        <w:pStyle w:val="Heading2"/>
      </w:pPr>
      <w:r>
        <w:t>Validity</w:t>
      </w:r>
    </w:p>
    <w:p>
      <w:r>
        <w:rPr>
          <w:i w:val="0"/>
        </w:rPr>
        <w:t>Please hold your prices for ninety (90) days from the tender closing date (28/10/2026), that is, until 26/01/2027, to match Council's tender validity.</w:t>
      </w:r>
    </w:p>
    <w:p>
      <w:pPr>
        <w:pStyle w:val="Heading1"/>
        <w:pBdr>
          <w:bottom w:val="single" w:sz="6" w:space="1" w:color="C9A227"/>
        </w:pBdr>
      </w:pPr>
      <w:r>
        <w:t>8.0   Independence and conflict of interest</w:t>
      </w:r>
    </w:p>
    <w:p>
      <w:pPr>
        <w:pStyle w:val="ListBullet"/>
        <w:spacing w:after="40"/>
      </w:pPr>
      <w:r>
        <w:t>Please tell us early whether you are tendering for RFT 47-26 yourself, or quoting to another tenderer. JCE does not ask for exclusivity, but it needs to know.</w:t>
      </w:r>
    </w:p>
    <w:p>
      <w:pPr>
        <w:pStyle w:val="ListBullet"/>
        <w:spacing w:after="40"/>
      </w:pPr>
      <w:r>
        <w:t>Please declare any previous or current work for Inner West Council on these assets (for example a past condition audit or revaluation) and any relationship with Council staff. Past work is valuable experience but Council requires conflicts to be declared (Respondent Declaration).</w:t>
      </w:r>
    </w:p>
    <w:p>
      <w:pPr>
        <w:pStyle w:val="ListBullet"/>
        <w:spacing w:after="40"/>
      </w:pPr>
      <w:r>
        <w:t>Do not contact Council officers about RFT 47-26. Council's ethical rules allow contact only through the Contact Person on the VendorPanel forum, and JCE will lodge any questions there for you.</w:t>
      </w:r>
    </w:p>
    <w:p>
      <w:pPr>
        <w:pStyle w:val="Heading1"/>
        <w:pBdr>
          <w:bottom w:val="single" w:sz="6" w:space="1" w:color="C9A227"/>
        </w:pBdr>
      </w:pPr>
      <w:r>
        <w:t>9.0   Confidentiality</w:t>
      </w:r>
    </w:p>
    <w:p>
      <w:r>
        <w:rPr>
          <w:i w:val="0"/>
        </w:rPr>
        <w:t>This request, Council's documents and JCE's pricing are confidential. They are provided only for preparing your quotation. Please do not share them or use them for any other purpose, and delete them if you do not quote or JCE is unsuccessful. Council's RFT documents remain Council's intellectual property and may be used only to prepare a tender (RFT clause 3.17).</w:t>
      </w:r>
    </w:p>
    <w:p>
      <w:pPr>
        <w:pStyle w:val="Heading1"/>
        <w:pBdr>
          <w:bottom w:val="single" w:sz="6" w:space="1" w:color="C9A227"/>
        </w:pBdr>
      </w:pPr>
      <w:r>
        <w:t>10.0   Basis of engagement</w:t>
      </w:r>
    </w:p>
    <w:p>
      <w:pPr>
        <w:pStyle w:val="ListBullet"/>
        <w:spacing w:after="40"/>
      </w:pPr>
      <w:r>
        <w:t>Your engagement depends on Council awarding the contract to JCE and approving you as a subcontractor. JCE makes no commitment, and pays no costs of preparing your quotation, until then.</w:t>
      </w:r>
    </w:p>
    <w:p>
      <w:pPr>
        <w:pStyle w:val="ListBullet"/>
        <w:spacing w:after="40"/>
      </w:pPr>
      <w:r>
        <w:t>If JCE is successful, JCE will engage you under a written subcontract consistent with Council's Consultancy Agreement (insurance, confidentiality, intellectual property, WHS and payment terms), with payment within 7 days of JCE receiving payment from Council for your work.</w:t>
      </w:r>
    </w:p>
    <w:p>
      <w:pPr>
        <w:pStyle w:val="ListBullet"/>
        <w:spacing w:after="40"/>
      </w:pPr>
      <w:r>
        <w:t>Council may select any combination of optional asset classes, or none. Your optional items are engaged only if Council selects them.</w:t>
      </w:r>
    </w:p>
    <w:p>
      <w:pPr>
        <w:pStyle w:val="Heading1"/>
        <w:pBdr>
          <w:bottom w:val="single" w:sz="6" w:space="1" w:color="C9A227"/>
        </w:pBdr>
      </w:pPr>
      <w:r>
        <w:t>11.0   How to respond</w:t>
      </w:r>
    </w:p>
    <w:p>
      <w:pPr>
        <w:keepNext/>
      </w:pPr>
      <w:r>
        <w:rPr>
          <w:i w:val="0"/>
        </w:rPr>
        <w:t>Please email your quotation to jayden@jceinfrastructure.com.au by 12:00 pm, Wednesday 21/10/2026, with: the completed pricing schedule and rates; exclusions and assumptions; company profile; key staff CVs; two to three comparable projects with referees; certificates of currency; your declaration under Section 8.0; and any comments on the contract terms in Section 6.0. Questions are welcome by phone on 0477 207 027 or by email by 12:00 pm, Friday 16/10/2026.</w:t>
      </w:r>
    </w:p>
    <w:p>
      <w:pPr>
        <w:keepNext/>
      </w:pPr>
      <w:r>
        <w:rPr>
          <w:i w:val="0"/>
        </w:rPr>
        <w:t>Yours faithfully,</w:t>
      </w:r>
    </w:p>
    <w:p>
      <w:pPr>
        <w:keepNext/>
      </w:pPr>
      <w:r>
        <w:rPr>
          <w:i w:val="0"/>
        </w:rPr>
        <w:t>[signature]</w:t>
      </w:r>
    </w:p>
    <w:p>
      <w:pPr>
        <w:keepNext/>
      </w:pPr>
      <w:r>
        <w:rPr>
          <w:i w:val="0"/>
        </w:rPr>
        <w:t>Jayden Callen</w:t>
      </w:r>
    </w:p>
    <w:p>
      <w:pPr>
        <w:keepNext/>
      </w:pPr>
      <w:r>
        <w:rPr>
          <w:i w:val="0"/>
        </w:rPr>
        <w:t>Director, JCE Infrastructure Pty Ltd  |  ABN 29 699 165 663</w:t>
      </w:r>
    </w:p>
    <w:p>
      <w:r>
        <w:rPr>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  JCE-RFQ-VP527819-01 Rev D  |  Inner West Council RFT 47-26  |  Confidential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