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Network inventory and condition audit: field data capture</w:t>
      </w:r>
    </w:p>
    <w:p>
      <w:r>
        <w:rPr>
          <w:color w:val="595959"/>
          <w:sz w:val="20"/>
        </w:rPr>
        <w:t>Inner West Council RFT 47-26 Transport Assets Condition Audit &amp; Revaluations 2026/27  |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RFQ no.</w:t>
            </w:r>
          </w:p>
        </w:tc>
        <w:tc>
          <w:tcPr>
            <w:tcW w:type="dxa" w:w="6626"/>
          </w:tcPr>
          <w:p>
            <w:pPr>
              <w:spacing w:after="20"/>
            </w:pPr>
            <w:r/>
            <w:r>
              <w:rPr>
                <w:sz w:val="18"/>
              </w:rPr>
              <w:t>JCE-RFQ-VP527819-01 Rev D</w:t>
            </w:r>
          </w:p>
        </w:tc>
      </w:tr>
      <w:tr>
        <w:trPr>
          <w:cantSplit/>
        </w:trPr>
        <w:tc>
          <w:tcPr>
            <w:tcW w:type="dxa" w:w="3012"/>
            <w:shd w:val="clear" w:color="auto" w:fill="F3E9C6"/>
          </w:tcPr>
          <w:p>
            <w:r/>
            <w:r>
              <w:rPr>
                <w:b/>
                <w:sz w:val="18"/>
              </w:rPr>
              <w:t>To</w:t>
            </w:r>
          </w:p>
        </w:tc>
        <w:tc>
          <w:tcPr>
            <w:tcW w:type="dxa" w:w="6626"/>
          </w:tcPr>
          <w:p>
            <w:pPr>
              <w:spacing w:after="20"/>
            </w:pPr>
            <w:r/>
            <w:r>
              <w:rPr>
                <w:sz w:val="18"/>
              </w:rPr>
              <w:t>Moloney Asset Management Systems, attention Peter Moloney</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the field inventory capture and condition rating of Inner West Council's transport assets, as JCE's data capture partner and key subcontractor in its tender for RFT 47-26. JCE will carry out all GIS processing, asset register updates, data QA and audit sampling in-house, so this request covers field and vehicle capture and rating only.</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4190"/>
        <w:gridCol w:w="2514"/>
        <w:gridCol w:w="1844"/>
        <w:gridCol w:w="108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spacing w:after="20"/>
            </w:pPr>
            <w:r/>
            <w:r>
              <w:rPr>
                <w:sz w:val="17"/>
              </w:rPr>
              <w:t>Footpaths (incl. on State roads); footpath and verge widths and areas</w:t>
            </w:r>
          </w:p>
        </w:tc>
        <w:tc>
          <w:tcPr>
            <w:tcW w:type="dxa" w:w="2514"/>
            <w:shd w:val="clear" w:color="auto" w:fill="F7F7F7"/>
          </w:tcPr>
          <w:p>
            <w:pPr>
              <w:spacing w:after="20"/>
            </w:pPr>
            <w:r/>
            <w:r>
              <w:rPr>
                <w:sz w:val="17"/>
              </w:rPr>
              <w:t>844 km (8,862 segments)</w:t>
            </w:r>
          </w:p>
        </w:tc>
        <w:tc>
          <w:tcPr>
            <w:tcW w:type="dxa" w:w="1844"/>
            <w:shd w:val="clear" w:color="auto" w:fill="F7F7F7"/>
          </w:tcPr>
          <w:p>
            <w:pPr>
              <w:spacing w:after="20"/>
            </w:pPr>
            <w:r/>
            <w:r>
              <w:rPr>
                <w:sz w:val="17"/>
              </w:rPr>
              <w:t>Overall + every 20 m</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844"/>
          </w:tcPr>
          <w:p>
            <w:pPr>
              <w:spacing w:after="20"/>
            </w:pPr>
            <w:r/>
            <w:r>
              <w:rPr>
                <w:sz w:val="17"/>
              </w:rPr>
              <w:t>Overall + every 10 m</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Bicycle route identifiers; dedicated on-road bicycle lanes</w:t>
            </w:r>
          </w:p>
        </w:tc>
        <w:tc>
          <w:tcPr>
            <w:tcW w:type="dxa" w:w="2514"/>
            <w:shd w:val="clear" w:color="auto" w:fill="F7F7F7"/>
          </w:tcPr>
          <w:p>
            <w:pPr>
              <w:spacing w:after="20"/>
            </w:pPr>
            <w:r/>
            <w:r>
              <w:rPr>
                <w:sz w:val="17"/>
              </w:rPr>
              <w:t>Various</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pPr>
        <w:pStyle w:val="Heading2"/>
      </w:pPr>
      <w:r>
        <w:t>All asset classes (mandatory, with optional classes priced separately)</w:t>
      </w:r>
    </w:p>
    <w:p>
      <w:pPr>
        <w:pStyle w:val="ListBullet"/>
        <w:spacing w:after="40"/>
      </w:pPr>
      <w:r>
        <w:t>Inventory verification against Council's asset register (present, missing, new), linked to Council's Asset_ID, with your unique ID for every asset (bicycle routes excepted, as the brief allows). New class: white way lighting from Council's list.</w:t>
      </w:r>
    </w:p>
    <w:p>
      <w:pPr>
        <w:pStyle w:val="ListBullet"/>
        <w:spacing w:after="40"/>
      </w:pPr>
      <w:r>
        <w:t>Visual condition assessment on Council's 1 (Very Good) to 5 (Very Poor) scale: overall, and at 50 m for roads, 20 m for footpaths and 10 m for kerb and gutter, with defects recorded and spatially located against the Asset_ID using Council's defect types.</w:t>
      </w:r>
    </w:p>
    <w:p>
      <w:pPr>
        <w:pStyle w:val="ListBullet"/>
        <w:spacing w:after="40"/>
      </w:pPr>
      <w:r>
        <w:t>Roads: widths, with concrete and asphalt sections measured and rated separately; regional roads in both directions.</w:t>
      </w:r>
    </w:p>
    <w:p>
      <w:pPr>
        <w:pStyle w:val="ListBullet"/>
        <w:spacing w:after="40"/>
      </w:pPr>
      <w:r>
        <w:t>Footpaths: footpath and grass verge (including verge garden) lengths, widths and areas, and the size and location of lifts and trip hazards for Council's footpath maintenance program (grinding under 35 mm, asphalt wedges over 35 mm, paver resetting, slab replacement, permanent restoration).</w:t>
      </w:r>
    </w:p>
    <w:p>
      <w:pPr>
        <w:pStyle w:val="ListBullet"/>
        <w:spacing w:after="40"/>
      </w:pPr>
      <w:r>
        <w:t>Traffic devices with length, width, height and diameter; street furniture; artwork; car park surfaces and assets; signage categorised by type; bicycle routes as an attribute and on-road bicycle lanes.</w:t>
      </w:r>
    </w:p>
    <w:p>
      <w:pPr>
        <w:pStyle w:val="ListBullet"/>
        <w:spacing w:after="40"/>
      </w:pPr>
      <w:r>
        <w:t>Optional classes, priced separately: kerb and pram ramps (DDA checks of lip, slope, direction and alignment of paired ramps), tree pits and verge gardens, vehicle crossings, road and footpath markings, and retaining walls (from the street and footpath only).</w:t>
      </w:r>
    </w:p>
    <w:p>
      <w:pPr>
        <w:pStyle w:val="Heading2"/>
      </w:pPr>
      <w:r>
        <w:t>Method, spatial and photo requirements (Contractor Brief)</w:t>
      </w:r>
    </w:p>
    <w:p>
      <w:pPr>
        <w:pStyle w:val="ListBullet"/>
        <w:spacing w:after="40"/>
      </w:pPr>
      <w:r>
        <w:t>Segments collected on the left side from the "From" street to the "To" street (house number sub-segments where they apply).</w:t>
      </w:r>
    </w:p>
    <w:p>
      <w:pPr>
        <w:pStyle w:val="ListBullet"/>
        <w:spacing w:after="40"/>
      </w:pPr>
      <w:r>
        <w:t>Mapping-grade DGPS positions differentially corrected to 1 m or better, with GPS feature metadata in each record (receiver type, offset method, date, time, field officer, positional accuracy, number of positions, PDOP or HDOP, correction status, form name). Heights, if any, to AHD.</w:t>
      </w:r>
    </w:p>
    <w:p>
      <w:pPr>
        <w:pStyle w:val="ListBullet"/>
        <w:spacing w:after="40"/>
      </w:pPr>
      <w:r>
        <w:t>Geo-referenced photographs of 5 megapixels or more of every inventory item, with the metadata Council specifies printed below the image (coordinates, datum, direction, date, time, site ID, unique photo ID, photographer, contract number, contractor name).</w:t>
      </w:r>
    </w:p>
    <w:p>
      <w:pPr>
        <w:pStyle w:val="ListBullet"/>
        <w:spacing w:after="40"/>
      </w:pPr>
      <w:r>
        <w:t>Field trial with Council and JCE, a two-week pilot in Council's nominated area, and changes from Council's review before network capture (pilot approval is a hold point).</w:t>
      </w:r>
    </w:p>
    <w:p>
      <w:pPr>
        <w:pStyle w:val="ListBullet"/>
        <w:spacing w:after="40"/>
      </w:pPr>
      <w:r>
        <w:t>An audit system with ongoing feedback and retraining of field staff, and correction of any records JCE's weekly desktop audit sampling (5% of segments and assets) rejects, within five (5) business days.</w:t>
      </w:r>
    </w:p>
    <w:p>
      <w:pPr>
        <w:pStyle w:val="ListBullet"/>
        <w:spacing w:after="40"/>
      </w:pPr>
      <w:r>
        <w:t>Same-day email notice to JCE of Very High and Extreme risk defects (type, location and image) for JCE to pass to Council, and weekly reports of road defects such as potholes.</w:t>
      </w:r>
    </w:p>
    <w:p>
      <w:pPr>
        <w:pStyle w:val="ListBullet"/>
        <w:spacing w:after="40"/>
      </w:pPr>
      <w:r>
        <w:t>Field staff qualified and experienced in transport asset inventory, condition assessment, audit methodology, local government asset management and GIS data capture.</w:t>
      </w:r>
    </w:p>
    <w:p>
      <w:pPr>
        <w:pStyle w:val="Heading2"/>
      </w:pPr>
      <w:r>
        <w:t>Deliverables</w:t>
      </w:r>
    </w:p>
    <w:p>
      <w:pPr>
        <w:pStyle w:val="ListBullet"/>
        <w:spacing w:after="40"/>
      </w:pPr>
      <w:r>
        <w:t>Raw geo-referenced imagery (vehicle and walk-through) with GNSS logs and the photo metadata Council specifies, named by asset or segment, for JCE's desktop audit sampling and Council's records.</w:t>
      </w:r>
    </w:p>
    <w:p>
      <w:pPr>
        <w:pStyle w:val="ListBullet"/>
        <w:spacing w:after="40"/>
      </w:pPr>
      <w:r>
        <w:t>Rated field data in JCE's capture schema (Excel or GeoPackage, MGA Zone 56 GDA2020), one record per asset or interval, carrying Council's Asset_ID where matched, with condition, defects, dimensions and lift measurements. JCE builds the final ESRI shapefiles, Excel database, data dictionary, metadata and TechnologyOne register update files.</w:t>
      </w:r>
    </w:p>
    <w:p>
      <w:pPr>
        <w:pStyle w:val="ListBullet"/>
        <w:spacing w:after="40"/>
      </w:pPr>
      <w:r>
        <w:t>Weekly data drops from 08/02/2027 so JCE can audit and process in parallel; corrections to records JCE's audit sampling rejects within five (5) business days.</w:t>
      </w:r>
    </w:p>
    <w:p>
      <w:pPr>
        <w:pStyle w:val="ListBullet"/>
        <w:spacing w:after="40"/>
      </w:pPr>
      <w:r>
        <w:t>Defect inventory with risk ratings, locations and photos; QA records (calibration, audit feedback, corrections); weekly progress updates.</w:t>
      </w:r>
    </w:p>
    <w:p>
      <w:pPr>
        <w:pStyle w:val="Heading1"/>
        <w:pBdr>
          <w:bottom w:val="single" w:sz="6" w:space="1" w:color="C9A227"/>
        </w:pBdr>
      </w:pPr>
      <w:r>
        <w:t>3.0   Key dates and program</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spacing w:after="20"/>
            </w:pPr>
            <w:r/>
            <w:r>
              <w:rPr>
                <w:sz w:val="17"/>
              </w:rPr>
              <w:t>Please confirm you intend to quote</w:t>
            </w:r>
          </w:p>
        </w:tc>
        <w:tc>
          <w:tcPr>
            <w:tcW w:type="dxa" w:w="3855"/>
            <w:shd w:val="clear" w:color="auto" w:fill="F7F7F7"/>
          </w:tcPr>
          <w:p>
            <w:pPr>
              <w:spacing w:after="20"/>
            </w:pPr>
            <w:r/>
            <w:r>
              <w:rPr>
                <w:sz w:val="17"/>
              </w:rPr>
              <w:t>Wednesday 14/10/2026</w:t>
            </w:r>
          </w:p>
        </w:tc>
      </w:tr>
      <w:tr>
        <w:trPr>
          <w:cantSplit/>
        </w:trPr>
        <w:tc>
          <w:tcPr>
            <w:tcW w:type="dxa" w:w="5783"/>
          </w:tcPr>
          <w:p>
            <w:pPr>
              <w:spacing w:after="20"/>
            </w:pPr>
            <w:r/>
            <w:r>
              <w:rPr>
                <w:sz w:val="17"/>
              </w:rPr>
              <w:t>Questions to JCE (so JCE can lodge them on Council's forum by 21/10/2026)</w:t>
            </w:r>
          </w:p>
        </w:tc>
        <w:tc>
          <w:tcPr>
            <w:tcW w:type="dxa" w:w="3855"/>
          </w:tcPr>
          <w:p>
            <w:pPr>
              <w:spacing w:after="20"/>
            </w:pPr>
            <w:r/>
            <w:r>
              <w:rPr>
                <w:sz w:val="17"/>
              </w:rPr>
              <w:t>12:00 pm, Friday 16/10/2026</w:t>
            </w:r>
          </w:p>
        </w:tc>
      </w:tr>
      <w:tr>
        <w:trPr>
          <w:cantSplit/>
        </w:trPr>
        <w:tc>
          <w:tcPr>
            <w:tcW w:type="dxa" w:w="5783"/>
            <w:shd w:val="clear" w:color="auto" w:fill="F7F7F7"/>
          </w:tcPr>
          <w:p>
            <w:pPr>
              <w:spacing w:after="20"/>
            </w:pPr>
            <w:r/>
            <w:r>
              <w:rPr>
                <w:sz w:val="17"/>
              </w:rPr>
              <w:t>Quote due to JCE</w:t>
            </w:r>
          </w:p>
        </w:tc>
        <w:tc>
          <w:tcPr>
            <w:tcW w:type="dxa" w:w="3855"/>
            <w:shd w:val="clear" w:color="auto" w:fill="F7F7F7"/>
          </w:tcPr>
          <w:p>
            <w:pPr>
              <w:spacing w:after="20"/>
            </w:pPr>
            <w:r/>
            <w:r>
              <w:rPr>
                <w:sz w:val="17"/>
              </w:rPr>
              <w:t>12:00 pm, Wednesday 21/10/2026</w:t>
            </w:r>
          </w:p>
        </w:tc>
      </w:tr>
      <w:tr>
        <w:trPr>
          <w:cantSplit/>
        </w:trPr>
        <w:tc>
          <w:tcPr>
            <w:tcW w:type="dxa" w:w="5783"/>
          </w:tcPr>
          <w:p>
            <w:pPr>
              <w:spacing w:after="20"/>
            </w:pPr>
            <w:r/>
            <w:r>
              <w:rPr>
                <w:sz w:val="17"/>
              </w:rPr>
              <w:t>Tender closes (VendorPanel)</w:t>
            </w:r>
          </w:p>
        </w:tc>
        <w:tc>
          <w:tcPr>
            <w:tcW w:type="dxa" w:w="3855"/>
          </w:tcPr>
          <w:p>
            <w:pPr>
              <w:spacing w:after="20"/>
            </w:pPr>
            <w:r/>
            <w:r>
              <w:rPr>
                <w:sz w:val="17"/>
              </w:rPr>
              <w:t>2:00 pm, Wednesday 28/10/2026</w:t>
            </w:r>
          </w:p>
        </w:tc>
      </w:tr>
      <w:tr>
        <w:trPr>
          <w:cantSplit/>
        </w:trPr>
        <w:tc>
          <w:tcPr>
            <w:tcW w:type="dxa" w:w="5783"/>
            <w:shd w:val="clear" w:color="auto" w:fill="F7F7F7"/>
          </w:tcPr>
          <w:p>
            <w:pPr>
              <w:spacing w:after="20"/>
            </w:pPr>
            <w:r/>
            <w:r>
              <w:rPr>
                <w:sz w:val="17"/>
              </w:rPr>
              <w:t>Award (anticipated by Council)</w:t>
            </w:r>
          </w:p>
        </w:tc>
        <w:tc>
          <w:tcPr>
            <w:tcW w:type="dxa" w:w="3855"/>
            <w:shd w:val="clear" w:color="auto" w:fill="F7F7F7"/>
          </w:tcPr>
          <w:p>
            <w:pPr>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Field trial with Council and JCE</w:t>
            </w:r>
          </w:p>
        </w:tc>
        <w:tc>
          <w:tcPr>
            <w:tcW w:type="dxa" w:w="3855"/>
          </w:tcPr>
          <w:p>
            <w:pPr>
              <w:keepNext/>
              <w:spacing w:after="20"/>
            </w:pPr>
            <w:r/>
            <w:r>
              <w:rPr>
                <w:sz w:val="17"/>
              </w:rPr>
              <w:t>08/12/2026 to 09/12/2026</w:t>
            </w:r>
          </w:p>
        </w:tc>
      </w:tr>
      <w:tr>
        <w:trPr>
          <w:cantSplit/>
        </w:trPr>
        <w:tc>
          <w:tcPr>
            <w:tcW w:type="dxa" w:w="5783"/>
            <w:shd w:val="clear" w:color="auto" w:fill="F7F7F7"/>
          </w:tcPr>
          <w:p>
            <w:pPr>
              <w:spacing w:after="20"/>
            </w:pPr>
            <w:r/>
            <w:r>
              <w:rPr>
                <w:sz w:val="17"/>
              </w:rPr>
              <w:t>Capture forms, definitions and JCE capture schema approved by Council</w:t>
            </w:r>
          </w:p>
        </w:tc>
        <w:tc>
          <w:tcPr>
            <w:tcW w:type="dxa" w:w="3855"/>
            <w:shd w:val="clear" w:color="auto" w:fill="F7F7F7"/>
          </w:tcPr>
          <w:p>
            <w:pPr>
              <w:spacing w:after="20"/>
            </w:pPr>
            <w:r/>
            <w:r>
              <w:rPr>
                <w:sz w:val="17"/>
              </w:rPr>
              <w:t>By 23/12/2026</w:t>
            </w:r>
          </w:p>
        </w:tc>
      </w:tr>
      <w:tr>
        <w:trPr>
          <w:cantSplit/>
        </w:trPr>
        <w:tc>
          <w:tcPr>
            <w:tcW w:type="dxa" w:w="5783"/>
          </w:tcPr>
          <w:p>
            <w:pPr>
              <w:spacing w:after="20"/>
            </w:pPr>
            <w:r/>
            <w:r>
              <w:rPr>
                <w:sz w:val="17"/>
              </w:rPr>
              <w:t>Pilot data collection (two weeks)</w:t>
            </w:r>
          </w:p>
        </w:tc>
        <w:tc>
          <w:tcPr>
            <w:tcW w:type="dxa" w:w="3855"/>
          </w:tcPr>
          <w:p>
            <w:pPr>
              <w:spacing w:after="20"/>
            </w:pPr>
            <w:r/>
            <w:r>
              <w:rPr>
                <w:sz w:val="17"/>
              </w:rPr>
              <w:t>11/01/2027 to 22/01/2027</w:t>
            </w:r>
          </w:p>
        </w:tc>
      </w:tr>
      <w:tr>
        <w:trPr>
          <w:cantSplit/>
        </w:trPr>
        <w:tc>
          <w:tcPr>
            <w:tcW w:type="dxa" w:w="5783"/>
            <w:shd w:val="clear" w:color="auto" w:fill="F7F7F7"/>
          </w:tcPr>
          <w:p>
            <w:pPr>
              <w:spacing w:after="20"/>
            </w:pPr>
            <w:r/>
            <w:r>
              <w:rPr>
                <w:sz w:val="17"/>
              </w:rPr>
              <w:t>Pilot review meeting and approval to proceed</w:t>
            </w:r>
          </w:p>
        </w:tc>
        <w:tc>
          <w:tcPr>
            <w:tcW w:type="dxa" w:w="3855"/>
            <w:shd w:val="clear" w:color="auto" w:fill="F7F7F7"/>
          </w:tcPr>
          <w:p>
            <w:pPr>
              <w:spacing w:after="20"/>
            </w:pPr>
            <w:r/>
            <w:r>
              <w:rPr>
                <w:sz w:val="17"/>
              </w:rPr>
              <w:t>28/01/2027</w:t>
            </w:r>
          </w:p>
        </w:tc>
      </w:tr>
      <w:tr>
        <w:trPr>
          <w:cantSplit/>
        </w:trPr>
        <w:tc>
          <w:tcPr>
            <w:tcW w:type="dxa" w:w="5783"/>
          </w:tcPr>
          <w:p>
            <w:pPr>
              <w:spacing w:after="20"/>
            </w:pPr>
            <w:r/>
            <w:r>
              <w:rPr>
                <w:sz w:val="17"/>
              </w:rPr>
              <w:t>Network capture, all selected classes</w:t>
            </w:r>
          </w:p>
        </w:tc>
        <w:tc>
          <w:tcPr>
            <w:tcW w:type="dxa" w:w="3855"/>
          </w:tcPr>
          <w:p>
            <w:pPr>
              <w:spacing w:after="20"/>
            </w:pPr>
            <w:r/>
            <w:r>
              <w:rPr>
                <w:sz w:val="17"/>
              </w:rPr>
              <w:t>01/02/2027 to 05/03/2027</w:t>
            </w:r>
          </w:p>
        </w:tc>
      </w:tr>
      <w:tr>
        <w:trPr>
          <w:cantSplit/>
        </w:trPr>
        <w:tc>
          <w:tcPr>
            <w:tcW w:type="dxa" w:w="5783"/>
            <w:shd w:val="clear" w:color="auto" w:fill="F7F7F7"/>
          </w:tcPr>
          <w:p>
            <w:pPr>
              <w:spacing w:after="20"/>
            </w:pPr>
            <w:r/>
            <w:r>
              <w:rPr>
                <w:sz w:val="17"/>
              </w:rPr>
              <w:t>Weekly rated data and imagery drops to JCE</w:t>
            </w:r>
          </w:p>
        </w:tc>
        <w:tc>
          <w:tcPr>
            <w:tcW w:type="dxa" w:w="3855"/>
            <w:shd w:val="clear" w:color="auto" w:fill="F7F7F7"/>
          </w:tcPr>
          <w:p>
            <w:pPr>
              <w:spacing w:after="20"/>
            </w:pPr>
            <w:r/>
            <w:r>
              <w:rPr>
                <w:sz w:val="17"/>
              </w:rPr>
              <w:t>From 08/02/2027</w:t>
            </w:r>
          </w:p>
        </w:tc>
      </w:tr>
      <w:tr>
        <w:trPr>
          <w:cantSplit/>
        </w:trPr>
        <w:tc>
          <w:tcPr>
            <w:tcW w:type="dxa" w:w="5783"/>
          </w:tcPr>
          <w:p>
            <w:pPr>
              <w:spacing w:after="20"/>
            </w:pPr>
            <w:r/>
            <w:r>
              <w:rPr>
                <w:sz w:val="17"/>
              </w:rPr>
              <w:t>Final rated data, imagery and QA records to JCE</w:t>
            </w:r>
          </w:p>
        </w:tc>
        <w:tc>
          <w:tcPr>
            <w:tcW w:type="dxa" w:w="3855"/>
          </w:tcPr>
          <w:p>
            <w:pPr>
              <w:spacing w:after="20"/>
            </w:pPr>
            <w:r/>
            <w:r>
              <w:rPr>
                <w:sz w:val="17"/>
              </w:rPr>
              <w:t>Friday 05/03/2027 (corrections by 10/03/2027)</w:t>
            </w:r>
          </w:p>
        </w:tc>
      </w:tr>
    </w:tbl>
    <w:p>
      <w:pPr>
        <w:spacing w:after="40"/>
      </w:pPr>
    </w:p>
    <w:p>
      <w:r>
        <w:rPr>
          <w:i w:val="0"/>
        </w:rPr>
        <w:t>Please confirm you can meet this program and state the crews, vehicles and equipment you will commit. If five weeks of network capture is too short, propose how you would meet Council's 31/03/2027 deadline.</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688"/>
        <w:gridCol w:w="4475"/>
        <w:gridCol w:w="1033"/>
        <w:gridCol w:w="947"/>
        <w:gridCol w:w="1205"/>
        <w:gridCol w:w="1291"/>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C1</w:t>
            </w:r>
          </w:p>
        </w:tc>
        <w:tc>
          <w:tcPr>
            <w:tcW w:type="dxa" w:w="4475"/>
          </w:tcPr>
          <w:p>
            <w:pPr>
              <w:keepNext/>
              <w:spacing w:after="20"/>
            </w:pPr>
            <w:r/>
            <w:r>
              <w:rPr>
                <w:sz w:val="17"/>
              </w:rPr>
              <w:t>Mobilisation, field trial, two-week pilot and changes from Council's review</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spacing w:after="20"/>
            </w:pPr>
            <w:r/>
            <w:r>
              <w:rPr>
                <w:sz w:val="17"/>
              </w:rPr>
              <w:t>C2</w:t>
            </w:r>
          </w:p>
        </w:tc>
        <w:tc>
          <w:tcPr>
            <w:tcW w:type="dxa" w:w="4475"/>
            <w:shd w:val="clear" w:color="auto" w:fill="F7F7F7"/>
          </w:tcPr>
          <w:p>
            <w:pPr>
              <w:spacing w:after="20"/>
            </w:pPr>
            <w:r/>
            <w:r>
              <w:rPr>
                <w:sz w:val="17"/>
              </w:rPr>
              <w:t>Roads: inventory, widths, overall and 50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464</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C3</w:t>
            </w:r>
          </w:p>
        </w:tc>
        <w:tc>
          <w:tcPr>
            <w:tcW w:type="dxa" w:w="4475"/>
          </w:tcPr>
          <w:p>
            <w:pPr>
              <w:spacing w:after="20"/>
            </w:pPr>
            <w:r/>
            <w:r>
              <w:rPr>
                <w:sz w:val="17"/>
              </w:rPr>
              <w:t>Footpaths: widths and areas, overall and 20 m condition, defects and lifts</w:t>
            </w:r>
          </w:p>
        </w:tc>
        <w:tc>
          <w:tcPr>
            <w:tcW w:type="dxa" w:w="1033"/>
          </w:tcPr>
          <w:p>
            <w:pPr>
              <w:spacing w:after="20"/>
            </w:pPr>
            <w:r/>
            <w:r>
              <w:rPr>
                <w:sz w:val="17"/>
              </w:rPr>
              <w:t>km</w:t>
            </w:r>
          </w:p>
        </w:tc>
        <w:tc>
          <w:tcPr>
            <w:tcW w:type="dxa" w:w="947"/>
          </w:tcPr>
          <w:p>
            <w:pPr>
              <w:spacing w:after="20"/>
            </w:pPr>
            <w:r/>
            <w:r>
              <w:rPr>
                <w:sz w:val="17"/>
              </w:rPr>
              <w:t>844</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C4</w:t>
            </w:r>
          </w:p>
        </w:tc>
        <w:tc>
          <w:tcPr>
            <w:tcW w:type="dxa" w:w="4475"/>
            <w:shd w:val="clear" w:color="auto" w:fill="F7F7F7"/>
          </w:tcPr>
          <w:p>
            <w:pPr>
              <w:spacing w:after="20"/>
            </w:pPr>
            <w:r/>
            <w:r>
              <w:rPr>
                <w:sz w:val="17"/>
              </w:rPr>
              <w:t>Kerb and gutter: overall and 10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865.9</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C5</w:t>
            </w:r>
          </w:p>
        </w:tc>
        <w:tc>
          <w:tcPr>
            <w:tcW w:type="dxa" w:w="4475"/>
          </w:tcPr>
          <w:p>
            <w:pPr>
              <w:spacing w:after="20"/>
            </w:pPr>
            <w:r/>
            <w:r>
              <w:rPr>
                <w:sz w:val="17"/>
              </w:rPr>
              <w:t>Traffic devices (4,885); street furniture (5,972); artwork</w:t>
            </w:r>
          </w:p>
        </w:tc>
        <w:tc>
          <w:tcPr>
            <w:tcW w:type="dxa" w:w="1033"/>
          </w:tcPr>
          <w:p>
            <w:pPr>
              <w:spacing w:after="20"/>
            </w:pPr>
            <w:r/>
            <w:r>
              <w:rPr>
                <w:sz w:val="17"/>
              </w:rPr>
              <w:t>each / lump</w:t>
            </w:r>
          </w:p>
        </w:tc>
        <w:tc>
          <w:tcPr>
            <w:tcW w:type="dxa" w:w="947"/>
          </w:tcPr>
          <w:p>
            <w:pPr>
              <w:spacing w:after="20"/>
            </w:pPr>
            <w:r/>
            <w:r>
              <w:rPr>
                <w:sz w:val="17"/>
              </w:rPr>
              <w:t>10,857+</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C6</w:t>
            </w:r>
          </w:p>
        </w:tc>
        <w:tc>
          <w:tcPr>
            <w:tcW w:type="dxa" w:w="4475"/>
            <w:shd w:val="clear" w:color="auto" w:fill="F7F7F7"/>
          </w:tcPr>
          <w:p>
            <w:pPr>
              <w:spacing w:after="20"/>
            </w:pPr>
            <w:r/>
            <w:r>
              <w:rPr>
                <w:sz w:val="17"/>
              </w:rPr>
              <w:t>Car park surfaces (81 locations) and car park assets (1,533)</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C7</w:t>
            </w:r>
          </w:p>
        </w:tc>
        <w:tc>
          <w:tcPr>
            <w:tcW w:type="dxa" w:w="4475"/>
          </w:tcPr>
          <w:p>
            <w:pPr>
              <w:spacing w:after="20"/>
            </w:pPr>
            <w:r/>
            <w:r>
              <w:rPr>
                <w:sz w:val="17"/>
              </w:rPr>
              <w:t>White way lighting (new class)</w:t>
            </w:r>
          </w:p>
        </w:tc>
        <w:tc>
          <w:tcPr>
            <w:tcW w:type="dxa" w:w="1033"/>
          </w:tcPr>
          <w:p>
            <w:pPr>
              <w:spacing w:after="20"/>
            </w:pPr>
            <w:r/>
            <w:r>
              <w:rPr>
                <w:sz w:val="17"/>
              </w:rPr>
              <w:t>each</w:t>
            </w:r>
          </w:p>
        </w:tc>
        <w:tc>
          <w:tcPr>
            <w:tcW w:type="dxa" w:w="947"/>
          </w:tcPr>
          <w:p>
            <w:pPr>
              <w:spacing w:after="20"/>
            </w:pPr>
            <w:r/>
            <w:r>
              <w:rPr>
                <w:sz w:val="17"/>
              </w:rPr>
              <w:t>1,500+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C8</w:t>
            </w:r>
          </w:p>
        </w:tc>
        <w:tc>
          <w:tcPr>
            <w:tcW w:type="dxa" w:w="4475"/>
            <w:shd w:val="clear" w:color="auto" w:fill="F7F7F7"/>
          </w:tcPr>
          <w:p>
            <w:pPr>
              <w:spacing w:after="20"/>
            </w:pPr>
            <w:r/>
            <w:r>
              <w:rPr>
                <w:sz w:val="17"/>
              </w:rPr>
              <w:t>Signage, all types, categorised</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50,000+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C9</w:t>
            </w:r>
          </w:p>
        </w:tc>
        <w:tc>
          <w:tcPr>
            <w:tcW w:type="dxa" w:w="4475"/>
          </w:tcPr>
          <w:p>
            <w:pPr>
              <w:spacing w:after="20"/>
            </w:pPr>
            <w:r/>
            <w:r>
              <w:rPr>
                <w:sz w:val="17"/>
              </w:rPr>
              <w:t>Bicycle route identifiers and on-road bicycle lanes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C10</w:t>
            </w:r>
          </w:p>
        </w:tc>
        <w:tc>
          <w:tcPr>
            <w:tcW w:type="dxa" w:w="4475"/>
            <w:shd w:val="clear" w:color="auto" w:fill="F7F7F7"/>
          </w:tcPr>
          <w:p>
            <w:pPr>
              <w:spacing w:after="20"/>
            </w:pPr>
            <w:r/>
            <w:r>
              <w:rPr>
                <w:sz w:val="17"/>
              </w:rPr>
              <w:t>Data packaging to JCE's capture schema, GNSS post-processing and photo metadata (JCE builds shapefiles, Excel database and register updates)</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r>
          </w:p>
        </w:tc>
        <w:tc>
          <w:tcPr>
            <w:tcW w:type="dxa" w:w="4475"/>
          </w:tcPr>
          <w:p>
            <w:pPr>
              <w:spacing w:after="20"/>
            </w:pPr>
            <w:r/>
            <w:r>
              <w:rPr>
                <w:sz w:val="17"/>
              </w:rPr>
              <w:t>Total lump sum, mandatory classes C1 to C10 (excl. GST)</w:t>
            </w:r>
          </w:p>
        </w:tc>
        <w:tc>
          <w:tcPr>
            <w:tcW w:type="dxa" w:w="1033"/>
          </w:tcPr>
          <w:p>
            <w:pPr>
              <w:spacing w:after="20"/>
            </w:pPr>
            <w:r/>
            <w:r>
              <w:rPr>
                <w:sz w:val="17"/>
              </w:rPr>
            </w:r>
          </w:p>
        </w:tc>
        <w:tc>
          <w:tcPr>
            <w:tcW w:type="dxa" w:w="947"/>
          </w:tcPr>
          <w:p>
            <w:pPr>
              <w:spacing w:after="20"/>
            </w:pPr>
            <w:r/>
            <w:r>
              <w:rPr>
                <w:sz w:val="17"/>
              </w:rPr>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O4</w:t>
            </w:r>
          </w:p>
        </w:tc>
        <w:tc>
          <w:tcPr>
            <w:tcW w:type="dxa" w:w="4475"/>
            <w:shd w:val="clear" w:color="auto" w:fill="F7F7F7"/>
          </w:tcPr>
          <w:p>
            <w:pPr>
              <w:spacing w:after="20"/>
            </w:pPr>
            <w:r/>
            <w:r>
              <w:rPr>
                <w:sz w:val="17"/>
              </w:rPr>
              <w:t>Optional: kerb and pram ramps with DDA checks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8,000+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O5</w:t>
            </w:r>
          </w:p>
        </w:tc>
        <w:tc>
          <w:tcPr>
            <w:tcW w:type="dxa" w:w="4475"/>
          </w:tcPr>
          <w:p>
            <w:pPr>
              <w:spacing w:after="20"/>
            </w:pPr>
            <w:r/>
            <w:r>
              <w:rPr>
                <w:sz w:val="17"/>
              </w:rPr>
              <w:t>Optional: tree pits and verge gardens</w:t>
            </w:r>
          </w:p>
        </w:tc>
        <w:tc>
          <w:tcPr>
            <w:tcW w:type="dxa" w:w="1033"/>
          </w:tcPr>
          <w:p>
            <w:pPr>
              <w:spacing w:after="20"/>
            </w:pPr>
            <w:r/>
            <w:r>
              <w:rPr>
                <w:sz w:val="17"/>
              </w:rPr>
              <w:t>each</w:t>
            </w:r>
          </w:p>
        </w:tc>
        <w:tc>
          <w:tcPr>
            <w:tcW w:type="dxa" w:w="947"/>
          </w:tcPr>
          <w:p>
            <w:pPr>
              <w:spacing w:after="20"/>
            </w:pPr>
            <w:r/>
            <w:r>
              <w:rPr>
                <w:sz w:val="17"/>
              </w:rPr>
              <w:t>15,350+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O6</w:t>
            </w:r>
          </w:p>
        </w:tc>
        <w:tc>
          <w:tcPr>
            <w:tcW w:type="dxa" w:w="4475"/>
            <w:shd w:val="clear" w:color="auto" w:fill="F7F7F7"/>
          </w:tcPr>
          <w:p>
            <w:pPr>
              <w:spacing w:after="20"/>
            </w:pPr>
            <w:r/>
            <w:r>
              <w:rPr>
                <w:sz w:val="17"/>
              </w:rPr>
              <w:t>Optional: vehicle crossings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34,300+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O7</w:t>
            </w:r>
          </w:p>
        </w:tc>
        <w:tc>
          <w:tcPr>
            <w:tcW w:type="dxa" w:w="4475"/>
          </w:tcPr>
          <w:p>
            <w:pPr>
              <w:spacing w:after="20"/>
            </w:pPr>
            <w:r/>
            <w:r>
              <w:rPr>
                <w:sz w:val="17"/>
              </w:rPr>
              <w:t>Optional: road and footpath markings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O8</w:t>
            </w:r>
          </w:p>
        </w:tc>
        <w:tc>
          <w:tcPr>
            <w:tcW w:type="dxa" w:w="4475"/>
            <w:shd w:val="clear" w:color="auto" w:fill="F7F7F7"/>
          </w:tcPr>
          <w:p>
            <w:pPr>
              <w:spacing w:after="20"/>
            </w:pPr>
            <w:r/>
            <w:r>
              <w:rPr>
                <w:sz w:val="17"/>
              </w:rPr>
              <w:t>Optional: retaining walls (from street and footpath)</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bl>
    <w:p>
      <w:pPr>
        <w:spacing w:after="40"/>
      </w:pPr>
    </w:p>
    <w:p>
      <w:r>
        <w:rPr>
          <w:i w:val="0"/>
        </w:rPr>
        <w:t>Hourly and unit rates for directed additional work:</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7274"/>
        <w:gridCol w:w="2364"/>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Field crew day: two-person crew with vehicle, DGPS and camera (8 hours)</w:t>
            </w:r>
          </w:p>
        </w:tc>
        <w:tc>
          <w:tcPr>
            <w:tcW w:type="dxa" w:w="2364"/>
          </w:tcPr>
          <w:p>
            <w:pPr>
              <w:keepNext/>
              <w:spacing w:after="20"/>
              <w:jc w:val="right"/>
            </w:pPr>
            <w:r/>
            <w:r>
              <w:rPr>
                <w:sz w:val="17"/>
              </w:rPr>
              <w:t>$ / day</w:t>
            </w:r>
          </w:p>
        </w:tc>
      </w:tr>
      <w:tr>
        <w:trPr>
          <w:cantSplit/>
        </w:trPr>
        <w:tc>
          <w:tcPr>
            <w:tcW w:type="dxa" w:w="7274"/>
            <w:shd w:val="clear" w:color="auto" w:fill="F7F7F7"/>
          </w:tcPr>
          <w:p>
            <w:pPr>
              <w:spacing w:after="20"/>
            </w:pPr>
            <w:r/>
            <w:r>
              <w:rPr>
                <w:sz w:val="17"/>
              </w:rPr>
              <w:t>Survey vehicle day (vehicle-mounted imagery), if used</w:t>
            </w:r>
          </w:p>
        </w:tc>
        <w:tc>
          <w:tcPr>
            <w:tcW w:type="dxa" w:w="2364"/>
            <w:shd w:val="clear" w:color="auto" w:fill="F7F7F7"/>
          </w:tcPr>
          <w:p>
            <w:pPr>
              <w:spacing w:after="20"/>
              <w:jc w:val="right"/>
            </w:pPr>
            <w:r/>
            <w:r>
              <w:rPr>
                <w:sz w:val="17"/>
              </w:rPr>
              <w:t>$ / day</w:t>
            </w:r>
          </w:p>
        </w:tc>
      </w:tr>
      <w:tr>
        <w:trPr>
          <w:cantSplit/>
        </w:trPr>
        <w:tc>
          <w:tcPr>
            <w:tcW w:type="dxa" w:w="7274"/>
          </w:tcPr>
          <w:p>
            <w:pPr>
              <w:spacing w:after="20"/>
            </w:pPr>
            <w:r/>
            <w:r>
              <w:rPr>
                <w:sz w:val="17"/>
              </w:rPr>
              <w:t>Project manager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Field assessor / rater</w:t>
            </w:r>
          </w:p>
        </w:tc>
        <w:tc>
          <w:tcPr>
            <w:tcW w:type="dxa" w:w="2364"/>
            <w:shd w:val="clear" w:color="auto" w:fill="F7F7F7"/>
          </w:tcPr>
          <w:p>
            <w:pPr>
              <w:spacing w:after="20"/>
              <w:jc w:val="right"/>
            </w:pPr>
            <w:r/>
            <w:r>
              <w:rPr>
                <w:sz w:val="17"/>
              </w:rPr>
              <w:t>$ / hour</w:t>
            </w:r>
          </w:p>
        </w:tc>
      </w:tr>
      <w:tr>
        <w:trPr>
          <w:cantSplit/>
        </w:trPr>
        <w:tc>
          <w:tcPr>
            <w:tcW w:type="dxa" w:w="7274"/>
          </w:tcPr>
          <w:p>
            <w:pPr>
              <w:spacing w:after="20"/>
            </w:pPr>
            <w:r/>
            <w:r>
              <w:rPr>
                <w:sz w:val="17"/>
              </w:rPr>
              <w:t>GIS and data processing officer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Additional road capture and rating</w:t>
            </w:r>
          </w:p>
        </w:tc>
        <w:tc>
          <w:tcPr>
            <w:tcW w:type="dxa" w:w="2364"/>
            <w:shd w:val="clear" w:color="auto" w:fill="F7F7F7"/>
          </w:tcPr>
          <w:p>
            <w:pPr>
              <w:spacing w:after="20"/>
              <w:jc w:val="right"/>
            </w:pPr>
            <w:r/>
            <w:r>
              <w:rPr>
                <w:sz w:val="17"/>
              </w:rPr>
              <w:t>$ / km</w:t>
            </w:r>
          </w:p>
        </w:tc>
      </w:tr>
      <w:tr>
        <w:trPr>
          <w:cantSplit/>
        </w:trPr>
        <w:tc>
          <w:tcPr>
            <w:tcW w:type="dxa" w:w="7274"/>
          </w:tcPr>
          <w:p>
            <w:pPr>
              <w:spacing w:after="20"/>
            </w:pPr>
            <w:r/>
            <w:r>
              <w:rPr>
                <w:sz w:val="17"/>
              </w:rPr>
              <w:t>Additional footpath capture and rating</w:t>
            </w:r>
          </w:p>
        </w:tc>
        <w:tc>
          <w:tcPr>
            <w:tcW w:type="dxa" w:w="2364"/>
          </w:tcPr>
          <w:p>
            <w:pPr>
              <w:spacing w:after="20"/>
              <w:jc w:val="right"/>
            </w:pPr>
            <w:r/>
            <w:r>
              <w:rPr>
                <w:sz w:val="17"/>
              </w:rPr>
              <w:t>$ / km</w:t>
            </w:r>
          </w:p>
        </w:tc>
      </w:tr>
      <w:tr>
        <w:trPr>
          <w:cantSplit/>
        </w:trPr>
        <w:tc>
          <w:tcPr>
            <w:tcW w:type="dxa" w:w="7274"/>
            <w:shd w:val="clear" w:color="auto" w:fill="F7F7F7"/>
          </w:tcPr>
          <w:p>
            <w:pPr>
              <w:spacing w:after="20"/>
            </w:pPr>
            <w:r/>
            <w:r>
              <w:rPr>
                <w:sz w:val="17"/>
              </w:rPr>
              <w:t>Additional point asset inventory and condition</w:t>
            </w:r>
          </w:p>
        </w:tc>
        <w:tc>
          <w:tcPr>
            <w:tcW w:type="dxa" w:w="2364"/>
            <w:shd w:val="clear" w:color="auto" w:fill="F7F7F7"/>
          </w:tcPr>
          <w:p>
            <w:pPr>
              <w:spacing w:after="20"/>
              <w:jc w:val="right"/>
            </w:pPr>
            <w:r/>
            <w:r>
              <w:rPr>
                <w:sz w:val="17"/>
              </w:rPr>
              <w:t>$ / asset</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pPr>
        <w:keepNext/>
      </w:pPr>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JCE-RFQ-VP527819-01 Rev D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