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32"/>
        </w:rPr>
        <w:t>REQUEST FOR QUOTATION</w:t>
      </w:r>
    </w:p>
    <w:p>
      <w:pPr>
        <w:spacing w:after="40"/>
      </w:pPr>
      <w:r>
        <w:rPr>
          <w:b/>
          <w:sz w:val="24"/>
        </w:rPr>
        <w:t>Level 2 bridge, major culvert and footbridge inspections</w:t>
      </w:r>
    </w:p>
    <w:p>
      <w:pPr>
        <w:spacing w:after="160"/>
      </w:pPr>
      <w:r>
        <w:rPr>
          <w:b w:val="0"/>
          <w:color w:val="555555"/>
          <w:sz w:val="20"/>
        </w:rPr>
        <w:t>Murray River Council tender MRC-2645, Infrastructure Asset Condition Assessments (VendorPanel VP527277)</w:t>
      </w:r>
    </w:p>
    <w:tbl>
      <w:tblPr>
        <w:tblStyle w:val="TableGrid"/>
        <w:tblW w:type="auto" w:w="0"/>
        <w:tblLook w:firstColumn="1" w:firstRow="1" w:lastColumn="0" w:lastRow="0" w:noHBand="0" w:noVBand="1" w:val="04A0"/>
      </w:tblPr>
      <w:tblGrid>
        <w:gridCol w:w="4819"/>
        <w:gridCol w:w="4819"/>
      </w:tblGrid>
      <w:tr>
        <w:tc>
          <w:tcPr>
            <w:tcW w:type="dxa" w:w="2608"/>
            <w:shd w:val="clear" w:color="auto" w:fill="E8EEF5"/>
          </w:tcPr>
          <w:p>
            <w:r>
              <w:rPr>
                <w:b/>
                <w:sz w:val="19"/>
              </w:rPr>
              <w:t>To</w:t>
            </w:r>
          </w:p>
        </w:tc>
        <w:tc>
          <w:tcPr>
            <w:tcW w:type="dxa" w:w="7030"/>
          </w:tcPr>
          <w:p>
            <w:r>
              <w:rPr>
                <w:b w:val="0"/>
                <w:sz w:val="19"/>
              </w:rPr>
              <w:t>Sterling Infrastructure, Asset management (structural inspections)</w:t>
            </w:r>
          </w:p>
        </w:tc>
      </w:tr>
      <w:tr>
        <w:tc>
          <w:tcPr>
            <w:tcW w:type="dxa" w:w="2608"/>
            <w:shd w:val="clear" w:color="auto" w:fill="E8EEF5"/>
          </w:tcPr>
          <w:p>
            <w:r>
              <w:rPr>
                <w:b/>
                <w:sz w:val="19"/>
              </w:rPr>
              <w:t>From</w:t>
            </w:r>
          </w:p>
        </w:tc>
        <w:tc>
          <w:tcPr>
            <w:tcW w:type="dxa" w:w="7030"/>
          </w:tcPr>
          <w:p>
            <w:r>
              <w:rPr>
                <w:b w:val="0"/>
                <w:sz w:val="19"/>
              </w:rPr>
              <w:t>Jayden Callen, Director, JCE Infrastructure Pty Ltd</w:t>
            </w:r>
          </w:p>
        </w:tc>
      </w:tr>
      <w:tr>
        <w:tc>
          <w:tcPr>
            <w:tcW w:type="dxa" w:w="2608"/>
            <w:shd w:val="clear" w:color="auto" w:fill="E8EEF5"/>
          </w:tcPr>
          <w:p>
            <w:r>
              <w:rPr>
                <w:b/>
                <w:sz w:val="19"/>
              </w:rPr>
              <w:t>Date</w:t>
            </w:r>
          </w:p>
        </w:tc>
        <w:tc>
          <w:tcPr>
            <w:tcW w:type="dxa" w:w="7030"/>
          </w:tcPr>
          <w:p>
            <w:r>
              <w:rPr>
                <w:b w:val="0"/>
                <w:sz w:val="19"/>
              </w:rPr>
              <w:t>12/10/2026</w:t>
            </w:r>
          </w:p>
        </w:tc>
      </w:tr>
      <w:tr>
        <w:tc>
          <w:tcPr>
            <w:tcW w:type="dxa" w:w="2608"/>
            <w:shd w:val="clear" w:color="auto" w:fill="E8EEF5"/>
          </w:tcPr>
          <w:p>
            <w:r>
              <w:rPr>
                <w:b/>
                <w:sz w:val="19"/>
              </w:rPr>
              <w:t>RFQ number</w:t>
            </w:r>
          </w:p>
        </w:tc>
        <w:tc>
          <w:tcPr>
            <w:tcW w:type="dxa" w:w="7030"/>
          </w:tcPr>
          <w:p>
            <w:r>
              <w:rPr>
                <w:b w:val="0"/>
                <w:sz w:val="19"/>
              </w:rPr>
              <w:t>JCE-RFQ-VP527277-02 (Rev B, final)</w:t>
            </w:r>
          </w:p>
        </w:tc>
      </w:tr>
      <w:tr>
        <w:tc>
          <w:tcPr>
            <w:tcW w:type="dxa" w:w="2608"/>
            <w:shd w:val="clear" w:color="auto" w:fill="E8EEF5"/>
          </w:tcPr>
          <w:p>
            <w:r>
              <w:rPr>
                <w:b/>
                <w:sz w:val="19"/>
              </w:rPr>
              <w:t>Quote due</w:t>
            </w:r>
          </w:p>
        </w:tc>
        <w:tc>
          <w:tcPr>
            <w:tcW w:type="dxa" w:w="7030"/>
          </w:tcPr>
          <w:p>
            <w:r>
              <w:rPr>
                <w:b/>
                <w:sz w:val="19"/>
              </w:rPr>
              <w:t>12:00 pm, Friday 30/10/2026</w:t>
            </w:r>
          </w:p>
        </w:tc>
      </w:tr>
      <w:tr>
        <w:tc>
          <w:tcPr>
            <w:tcW w:type="dxa" w:w="2608"/>
            <w:shd w:val="clear" w:color="auto" w:fill="E8EEF5"/>
          </w:tcPr>
          <w:p>
            <w:r>
              <w:rPr>
                <w:b/>
                <w:sz w:val="19"/>
              </w:rPr>
              <w:t>Tender closes</w:t>
            </w:r>
          </w:p>
        </w:tc>
        <w:tc>
          <w:tcPr>
            <w:tcW w:type="dxa" w:w="7030"/>
          </w:tcPr>
          <w:p>
            <w:r>
              <w:rPr>
                <w:b w:val="0"/>
                <w:sz w:val="19"/>
              </w:rPr>
              <w:t>2:00 pm, Friday 13/11/2026 (Council's VendorPanel close)</w:t>
            </w:r>
          </w:p>
        </w:tc>
      </w:tr>
      <w:tr>
        <w:tc>
          <w:tcPr>
            <w:tcW w:type="dxa" w:w="2608"/>
            <w:shd w:val="clear" w:color="auto" w:fill="E8EEF5"/>
          </w:tcPr>
          <w:p>
            <w:r>
              <w:rPr>
                <w:b/>
                <w:sz w:val="19"/>
              </w:rPr>
              <w:t>Confirm you will quote</w:t>
            </w:r>
          </w:p>
        </w:tc>
        <w:tc>
          <w:tcPr>
            <w:tcW w:type="dxa" w:w="7030"/>
          </w:tcPr>
          <w:p>
            <w:r>
              <w:rPr>
                <w:b w:val="0"/>
                <w:sz w:val="19"/>
              </w:rPr>
              <w:t>By Monday 19/10/2026</w:t>
            </w:r>
          </w:p>
        </w:tc>
      </w:tr>
      <w:tr>
        <w:tc>
          <w:tcPr>
            <w:tcW w:type="dxa" w:w="2608"/>
            <w:shd w:val="clear" w:color="auto" w:fill="E8EEF5"/>
          </w:tcPr>
          <w:p>
            <w:r>
              <w:rPr>
                <w:b/>
                <w:sz w:val="19"/>
              </w:rPr>
              <w:t>Questions to JCE</w:t>
            </w:r>
          </w:p>
        </w:tc>
        <w:tc>
          <w:tcPr>
            <w:tcW w:type="dxa" w:w="7030"/>
          </w:tcPr>
          <w:p>
            <w:r>
              <w:rPr>
                <w:b w:val="0"/>
                <w:sz w:val="19"/>
              </w:rPr>
              <w:t>By 12:00 pm, Wednesday 21/10/2026</w:t>
            </w:r>
          </w:p>
        </w:tc>
      </w:tr>
      <w:tr>
        <w:tc>
          <w:tcPr>
            <w:tcW w:type="dxa" w:w="2608"/>
            <w:shd w:val="clear" w:color="auto" w:fill="E8EEF5"/>
          </w:tcPr>
          <w:p>
            <w:r>
              <w:rPr>
                <w:b/>
                <w:sz w:val="19"/>
              </w:rPr>
              <w:t>Status</w:t>
            </w:r>
          </w:p>
        </w:tc>
        <w:tc>
          <w:tcPr>
            <w:tcW w:type="dxa" w:w="7030"/>
          </w:tcPr>
          <w:p>
            <w:r>
              <w:rPr>
                <w:b w:val="0"/>
                <w:sz w:val="19"/>
              </w:rPr>
              <w:t>Pricing request for a tender. Any engagement depends on JCE winning the contract.</w:t>
            </w:r>
          </w:p>
        </w:tc>
      </w:tr>
    </w:tbl>
    <w:p>
      <w:pPr>
        <w:spacing w:after="0"/>
      </w:pPr>
    </w:p>
    <w:p>
      <w:r>
        <w:rPr>
          <w:b w:val="0"/>
        </w:rPr>
        <w:t>Dear Sterling team,</w:t>
      </w:r>
    </w:p>
    <w:p>
      <w:r>
        <w:rPr>
          <w:b w:val="0"/>
        </w:rPr>
        <w:t>JCE invites you to quote for the Level 2 condition inspection of Murray River Council's bridges, major culverts and footbridges, with an optional price per bridge for Level 3/4 inspections, as JCE's bridge inspection partner in its tender for MRC-2645.</w:t>
      </w:r>
    </w:p>
    <w:p>
      <w:pPr>
        <w:keepNext/>
        <w:spacing w:before="200"/>
      </w:pPr>
      <w:r>
        <w:rPr>
          <w:b/>
          <w:color w:val="1F3A5F"/>
          <w:sz w:val="23"/>
        </w:rPr>
        <w:t>1.0   Project and tender background</w:t>
      </w:r>
    </w:p>
    <w:p>
      <w:r>
        <w:rPr>
          <w:b w:val="0"/>
        </w:rPr>
        <w:t>Murray River Council (Council) has invited tenders (MRC-2645, VendorPanel VP527277) for the inspection, condition assessment, remaining useful life and comprehensive valuation of all transport and bridge infrastructure across the Murray River LGA, in four zones: Barham, Mathoura, Moama and Moulamein. The first valuation is as at 30/06/2027. A rolling program follows, with one zone physically inspected each year from 2028 to 2031 and a valuation by 30 June each year.</w:t>
      </w:r>
    </w:p>
    <w:p>
      <w:r>
        <w:rPr>
          <w:b w:val="0"/>
        </w:rPr>
        <w:t>Council wants one supplier and one lump sum, broken down by asset category and valuation year. JCE Infrastructure (JCE) is tendering as Lead Consultant. JCE is responsible for the methodology, quality control, data, remaining life, defect and safety assessment, 10-year programs, the valuation and reporting, and works with specialist partners for road imaging, bridge inspection and valuation sign-off.</w:t>
      </w:r>
    </w:p>
    <w:p>
      <w:pPr>
        <w:keepNext/>
      </w:pPr>
      <w:r>
        <w:rPr>
          <w:b w:val="0"/>
        </w:rPr>
        <w:t>Council's Appendix 1 structures (to be verified by inspection):</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835"/>
            <w:shd w:val="clear" w:color="auto" w:fill="1F3A5F"/>
          </w:tcPr>
          <w:p>
            <w:pPr>
              <w:keepNext/>
              <w:spacing w:after="20"/>
            </w:pPr>
            <w:r>
              <w:rPr>
                <w:b/>
                <w:color w:val="FFFFFF"/>
                <w:sz w:val="18"/>
              </w:rPr>
              <w:t>Structure type</w:t>
            </w:r>
          </w:p>
        </w:tc>
        <w:tc>
          <w:tcPr>
            <w:tcW w:type="dxa" w:w="1134"/>
            <w:shd w:val="clear" w:color="auto" w:fill="1F3A5F"/>
          </w:tcPr>
          <w:p>
            <w:pPr>
              <w:keepNext/>
              <w:spacing w:after="20"/>
            </w:pPr>
            <w:r>
              <w:rPr>
                <w:b/>
                <w:color w:val="FFFFFF"/>
                <w:sz w:val="18"/>
              </w:rPr>
              <w:t>Quantity</w:t>
            </w:r>
          </w:p>
        </w:tc>
        <w:tc>
          <w:tcPr>
            <w:tcW w:type="dxa" w:w="2041"/>
            <w:shd w:val="clear" w:color="auto" w:fill="1F3A5F"/>
          </w:tcPr>
          <w:p>
            <w:pPr>
              <w:keepNext/>
              <w:spacing w:after="20"/>
            </w:pPr>
            <w:r>
              <w:rPr>
                <w:b/>
                <w:color w:val="FFFFFF"/>
                <w:sz w:val="18"/>
              </w:rPr>
              <w:t>Inspection</w:t>
            </w:r>
          </w:p>
        </w:tc>
        <w:tc>
          <w:tcPr>
            <w:tcW w:type="dxa" w:w="3628"/>
            <w:shd w:val="clear" w:color="auto" w:fill="1F3A5F"/>
          </w:tcPr>
          <w:p>
            <w:pPr>
              <w:keepNext/>
              <w:spacing w:after="20"/>
            </w:pPr>
            <w:r>
              <w:rPr>
                <w:b/>
                <w:color w:val="FFFFFF"/>
                <w:sz w:val="18"/>
              </w:rPr>
              <w:t>Components</w:t>
            </w:r>
          </w:p>
        </w:tc>
      </w:tr>
      <w:tr>
        <w:trPr>
          <w:cantSplit/>
        </w:trPr>
        <w:tc>
          <w:tcPr>
            <w:tcW w:type="dxa" w:w="2835"/>
          </w:tcPr>
          <w:p>
            <w:pPr>
              <w:keepNext/>
              <w:spacing w:after="20"/>
            </w:pPr>
            <w:r>
              <w:rPr>
                <w:sz w:val="18"/>
              </w:rPr>
              <w:t>Concrete road bridges</w:t>
            </w:r>
          </w:p>
        </w:tc>
        <w:tc>
          <w:tcPr>
            <w:tcW w:type="dxa" w:w="1134"/>
          </w:tcPr>
          <w:p>
            <w:pPr>
              <w:keepNext/>
              <w:spacing w:after="20"/>
            </w:pPr>
            <w:r>
              <w:rPr>
                <w:sz w:val="18"/>
              </w:rPr>
              <w:t>62</w:t>
            </w:r>
          </w:p>
        </w:tc>
        <w:tc>
          <w:tcPr>
            <w:tcW w:type="dxa" w:w="2041"/>
          </w:tcPr>
          <w:p>
            <w:pPr>
              <w:keepNext/>
              <w:spacing w:after="20"/>
            </w:pPr>
            <w:r>
              <w:rPr>
                <w:sz w:val="18"/>
              </w:rPr>
              <w:t>Level 2</w:t>
            </w:r>
          </w:p>
        </w:tc>
        <w:tc>
          <w:tcPr>
            <w:tcW w:type="dxa" w:w="3628"/>
          </w:tcPr>
          <w:p>
            <w:pPr>
              <w:keepNext/>
              <w:spacing w:after="20"/>
            </w:pPr>
            <w:r>
              <w:rPr>
                <w:sz w:val="18"/>
              </w:rPr>
              <w:t>Substructure, superstructure, deck, abutments (including embankments and waterway), miscellaneous (guardrail and similar)</w:t>
            </w:r>
          </w:p>
        </w:tc>
      </w:tr>
      <w:tr>
        <w:trPr>
          <w:cantSplit/>
        </w:trPr>
        <w:tc>
          <w:tcPr>
            <w:tcW w:type="dxa" w:w="2835"/>
          </w:tcPr>
          <w:p>
            <w:pPr>
              <w:keepNext/>
              <w:spacing w:after="20"/>
            </w:pPr>
            <w:r>
              <w:rPr>
                <w:sz w:val="18"/>
              </w:rPr>
              <w:t>Composite road bridges</w:t>
            </w:r>
          </w:p>
        </w:tc>
        <w:tc>
          <w:tcPr>
            <w:tcW w:type="dxa" w:w="1134"/>
          </w:tcPr>
          <w:p>
            <w:pPr>
              <w:keepNext/>
              <w:spacing w:after="20"/>
            </w:pPr>
            <w:r>
              <w:rPr>
                <w:sz w:val="18"/>
              </w:rPr>
              <w:t>39</w:t>
            </w:r>
          </w:p>
        </w:tc>
        <w:tc>
          <w:tcPr>
            <w:tcW w:type="dxa" w:w="2041"/>
          </w:tcPr>
          <w:p>
            <w:pPr>
              <w:keepNext/>
              <w:spacing w:after="20"/>
            </w:pPr>
            <w:r>
              <w:rPr>
                <w:sz w:val="18"/>
              </w:rPr>
              <w:t>Level 2</w:t>
            </w:r>
          </w:p>
        </w:tc>
        <w:tc>
          <w:tcPr>
            <w:tcW w:type="dxa" w:w="3628"/>
          </w:tcPr>
          <w:p>
            <w:pPr>
              <w:keepNext/>
              <w:spacing w:after="20"/>
            </w:pPr>
            <w:r>
              <w:rPr>
                <w:sz w:val="18"/>
              </w:rPr>
              <w:t>As above</w:t>
            </w:r>
          </w:p>
        </w:tc>
      </w:tr>
      <w:tr>
        <w:trPr>
          <w:cantSplit/>
        </w:trPr>
        <w:tc>
          <w:tcPr>
            <w:tcW w:type="dxa" w:w="2835"/>
          </w:tcPr>
          <w:p>
            <w:pPr>
              <w:keepNext/>
              <w:spacing w:after="20"/>
            </w:pPr>
            <w:r>
              <w:rPr>
                <w:sz w:val="18"/>
              </w:rPr>
              <w:t>Timber road bridge</w:t>
            </w:r>
          </w:p>
        </w:tc>
        <w:tc>
          <w:tcPr>
            <w:tcW w:type="dxa" w:w="1134"/>
          </w:tcPr>
          <w:p>
            <w:pPr>
              <w:keepNext/>
              <w:spacing w:after="20"/>
            </w:pPr>
            <w:r>
              <w:rPr>
                <w:sz w:val="18"/>
              </w:rPr>
              <w:t>1</w:t>
            </w:r>
          </w:p>
        </w:tc>
        <w:tc>
          <w:tcPr>
            <w:tcW w:type="dxa" w:w="2041"/>
          </w:tcPr>
          <w:p>
            <w:pPr>
              <w:keepNext/>
              <w:spacing w:after="20"/>
            </w:pPr>
            <w:r>
              <w:rPr>
                <w:sz w:val="18"/>
              </w:rPr>
              <w:t>Level 2</w:t>
            </w:r>
          </w:p>
        </w:tc>
        <w:tc>
          <w:tcPr>
            <w:tcW w:type="dxa" w:w="3628"/>
          </w:tcPr>
          <w:p>
            <w:pPr>
              <w:keepNext/>
              <w:spacing w:after="20"/>
            </w:pPr>
            <w:r>
              <w:rPr>
                <w:sz w:val="18"/>
              </w:rPr>
              <w:t>As above</w:t>
            </w:r>
          </w:p>
        </w:tc>
      </w:tr>
      <w:tr>
        <w:trPr>
          <w:cantSplit/>
        </w:trPr>
        <w:tc>
          <w:tcPr>
            <w:tcW w:type="dxa" w:w="2835"/>
          </w:tcPr>
          <w:p>
            <w:pPr>
              <w:keepNext/>
              <w:spacing w:after="20"/>
            </w:pPr>
            <w:r>
              <w:rPr>
                <w:sz w:val="18"/>
              </w:rPr>
              <w:t>Major culverts (single span 1.8 m or more, or waterway area 3 m2 or more)</w:t>
            </w:r>
          </w:p>
        </w:tc>
        <w:tc>
          <w:tcPr>
            <w:tcW w:type="dxa" w:w="1134"/>
          </w:tcPr>
          <w:p>
            <w:pPr>
              <w:keepNext/>
              <w:spacing w:after="20"/>
            </w:pPr>
            <w:r>
              <w:rPr>
                <w:sz w:val="18"/>
              </w:rPr>
              <w:t>11</w:t>
            </w:r>
          </w:p>
        </w:tc>
        <w:tc>
          <w:tcPr>
            <w:tcW w:type="dxa" w:w="2041"/>
          </w:tcPr>
          <w:p>
            <w:pPr>
              <w:keepNext/>
              <w:spacing w:after="20"/>
            </w:pPr>
            <w:r>
              <w:rPr>
                <w:sz w:val="18"/>
              </w:rPr>
              <w:t>Level 2</w:t>
            </w:r>
          </w:p>
        </w:tc>
        <w:tc>
          <w:tcPr>
            <w:tcW w:type="dxa" w:w="3628"/>
          </w:tcPr>
          <w:p>
            <w:pPr>
              <w:keepNext/>
              <w:spacing w:after="20"/>
            </w:pPr>
            <w:r>
              <w:rPr>
                <w:sz w:val="18"/>
              </w:rPr>
              <w:t>As above</w:t>
            </w:r>
          </w:p>
        </w:tc>
      </w:tr>
      <w:tr>
        <w:trPr>
          <w:cantSplit/>
        </w:trPr>
        <w:tc>
          <w:tcPr>
            <w:tcW w:type="dxa" w:w="2835"/>
          </w:tcPr>
          <w:p>
            <w:pPr>
              <w:keepNext/>
              <w:spacing w:after="20"/>
            </w:pPr>
            <w:r>
              <w:rPr>
                <w:sz w:val="18"/>
              </w:rPr>
              <w:t>Footbridges: steel; timber</w:t>
            </w:r>
          </w:p>
        </w:tc>
        <w:tc>
          <w:tcPr>
            <w:tcW w:type="dxa" w:w="1134"/>
          </w:tcPr>
          <w:p>
            <w:pPr>
              <w:keepNext/>
              <w:spacing w:after="20"/>
            </w:pPr>
            <w:r>
              <w:rPr>
                <w:sz w:val="18"/>
              </w:rPr>
              <w:t>9; 5</w:t>
            </w:r>
          </w:p>
        </w:tc>
        <w:tc>
          <w:tcPr>
            <w:tcW w:type="dxa" w:w="2041"/>
          </w:tcPr>
          <w:p>
            <w:pPr>
              <w:keepNext/>
              <w:spacing w:after="20"/>
            </w:pPr>
            <w:r>
              <w:rPr>
                <w:sz w:val="18"/>
              </w:rPr>
              <w:t>Level 2, including handrails</w:t>
            </w:r>
          </w:p>
        </w:tc>
        <w:tc>
          <w:tcPr>
            <w:tcW w:type="dxa" w:w="3628"/>
          </w:tcPr>
          <w:p>
            <w:pPr>
              <w:keepNext/>
              <w:spacing w:after="20"/>
            </w:pPr>
            <w:r>
              <w:rPr>
                <w:sz w:val="18"/>
              </w:rPr>
              <w:t>As above</w:t>
            </w:r>
          </w:p>
        </w:tc>
      </w:tr>
      <w:tr>
        <w:trPr>
          <w:cantSplit/>
        </w:trPr>
        <w:tc>
          <w:tcPr>
            <w:tcW w:type="dxa" w:w="2835"/>
          </w:tcPr>
          <w:p>
            <w:pPr>
              <w:spacing w:after="20"/>
            </w:pPr>
            <w:r>
              <w:rPr>
                <w:sz w:val="18"/>
              </w:rPr>
              <w:t>Total</w:t>
            </w:r>
          </w:p>
        </w:tc>
        <w:tc>
          <w:tcPr>
            <w:tcW w:type="dxa" w:w="1134"/>
          </w:tcPr>
          <w:p>
            <w:pPr>
              <w:spacing w:after="20"/>
            </w:pPr>
            <w:r>
              <w:rPr>
                <w:sz w:val="18"/>
              </w:rPr>
              <w:t>127</w:t>
            </w:r>
          </w:p>
        </w:tc>
        <w:tc>
          <w:tcPr>
            <w:tcW w:type="dxa" w:w="2041"/>
          </w:tcPr>
          <w:p>
            <w:pPr>
              <w:spacing w:after="20"/>
            </w:pPr>
            <w:r>
              <w:rPr>
                <w:sz w:val="18"/>
              </w:rPr>
              <w:t>Across the Barham, Mathoura, Moama and Moulamein zones</w:t>
            </w:r>
          </w:p>
        </w:tc>
        <w:tc>
          <w:tcPr>
            <w:tcW w:type="dxa" w:w="3628"/>
          </w:tcPr>
          <w:p>
            <w:pPr>
              <w:spacing w:after="20"/>
            </w:pPr>
            <w:r>
              <w:rPr>
                <w:sz w:val="18"/>
              </w:rPr>
            </w:r>
          </w:p>
        </w:tc>
      </w:tr>
    </w:tbl>
    <w:p>
      <w:pPr>
        <w:spacing w:after="0"/>
      </w:pPr>
    </w:p>
    <w:p>
      <w:pPr>
        <w:keepNext/>
        <w:spacing w:before="200"/>
      </w:pPr>
      <w:r>
        <w:rPr>
          <w:b/>
          <w:color w:val="1F3A5F"/>
          <w:sz w:val="23"/>
        </w:rPr>
        <w:t>2.0   Scope of services requested</w:t>
      </w:r>
    </w:p>
    <w:p>
      <w:pPr>
        <w:keepNext/>
        <w:spacing w:before="80"/>
      </w:pPr>
      <w:r>
        <w:rPr>
          <w:b/>
        </w:rPr>
        <w:t>Level 2 inspections (Year 1, all 127 structures)</w:t>
      </w:r>
    </w:p>
    <w:p>
      <w:pPr>
        <w:pStyle w:val="ListBullet"/>
        <w:keepNext/>
        <w:spacing w:after="40"/>
      </w:pPr>
      <w:r>
        <w:t>Visual inspection within 3 m of every surface of every component in good natural light; no underwater inspection. Please describe your access methodology for each structure type.</w:t>
      </w:r>
    </w:p>
    <w:p>
      <w:pPr>
        <w:pStyle w:val="ListBullet"/>
        <w:keepNext/>
        <w:spacing w:after="40"/>
      </w:pPr>
      <w:r>
        <w:t>Component condition ratings on Council's 1 to 5 scale (and TfNSW condition states where you use them), defects with photographs, remaining useful life by component, and recommended actions and timeframes.</w:t>
      </w:r>
    </w:p>
    <w:p>
      <w:pPr>
        <w:pStyle w:val="ListBullet"/>
        <w:keepNext/>
        <w:spacing w:after="40"/>
      </w:pPr>
      <w:r>
        <w:t>Guardrail on bridges and culverts, and handrails on bridges and footbridges: condition and obvious deficiencies against Austroads Guide to Road Design Part 6 and current Australian Standards.</w:t>
      </w:r>
    </w:p>
    <w:p>
      <w:pPr>
        <w:pStyle w:val="ListBullet"/>
        <w:spacing w:after="40"/>
      </w:pPr>
      <w:r>
        <w:t>A clear recommendation for each structure on whether a Level 3 or 4 inspection is needed.</w:t>
      </w:r>
    </w:p>
    <w:p>
      <w:pPr>
        <w:keepNext/>
        <w:spacing w:before="80"/>
      </w:pPr>
      <w:r>
        <w:rPr>
          <w:b/>
        </w:rPr>
        <w:t>Option: Level 3/4 inspections (price per bridge)</w:t>
      </w:r>
    </w:p>
    <w:p>
      <w:pPr>
        <w:pStyle w:val="ListBullet"/>
        <w:spacing w:after="40"/>
      </w:pPr>
      <w:r>
        <w:t>Component visual rating, structural safety inspection, load capacity assessment, component inventory, and photographic record of condition 4 and 5 defects. Council asks for a quoted cost per bridge. Please state what drawings or data you need and your assumptions on bridge type and size.</w:t>
      </w:r>
    </w:p>
    <w:p>
      <w:pPr>
        <w:keepNext/>
        <w:spacing w:before="80"/>
      </w:pPr>
      <w:r>
        <w:rPr>
          <w:b/>
        </w:rPr>
        <w:t>Rolling years 2028 to 2031</w:t>
      </w:r>
    </w:p>
    <w:p>
      <w:pPr>
        <w:pStyle w:val="ListBullet"/>
        <w:spacing w:after="40"/>
      </w:pPr>
      <w:r>
        <w:t>Level 2 inspections of the structures in one zone a year (Barham 2028, Mathoura 2029, Moama 2030, Moulamein 2031), plus any new structures Council lists. Council has not given counts by zone, so please price each year on about 32 structures and give a rate per structure for adjustment.</w:t>
      </w:r>
    </w:p>
    <w:p>
      <w:pPr>
        <w:keepNext/>
        <w:spacing w:before="200"/>
      </w:pPr>
      <w:r>
        <w:rPr>
          <w:b/>
          <w:color w:val="1F3A5F"/>
          <w:sz w:val="23"/>
        </w:rPr>
        <w:t>3.0   Deliverables and formats</w:t>
      </w:r>
    </w:p>
    <w:p>
      <w:pPr>
        <w:pStyle w:val="ListBullet"/>
        <w:keepNext/>
        <w:spacing w:after="40"/>
      </w:pPr>
      <w:r>
        <w:t>A Level 2 inspection report for each structure (PDF), signed by your engineer, with component ratings, defects, photographs, remaining lives and recommendations.</w:t>
      </w:r>
    </w:p>
    <w:p>
      <w:pPr>
        <w:pStyle w:val="ListBullet"/>
        <w:keepNext/>
        <w:spacing w:after="40"/>
      </w:pPr>
      <w:r>
        <w:t>Data in Council's template (Bridges tab), linked to Council Asset IDs, with images named Asset ID, then component, then facing.</w:t>
      </w:r>
    </w:p>
    <w:p>
      <w:pPr>
        <w:pStyle w:val="ListBullet"/>
        <w:spacing w:after="40"/>
      </w:pPr>
      <w:r>
        <w:t>Summary register of all structures with ratings, priority defects and Level 3/4 recommendations.</w:t>
      </w:r>
    </w:p>
    <w:p>
      <w:pPr>
        <w:keepNext/>
        <w:spacing w:before="200"/>
      </w:pPr>
      <w:r>
        <w:rPr>
          <w:b/>
          <w:color w:val="1F3A5F"/>
          <w:sz w:val="23"/>
        </w:rPr>
        <w:t>4.0   Program</w:t>
      </w:r>
    </w:p>
    <w:p>
      <w:pPr>
        <w:keepNext/>
      </w:pPr>
      <w:r>
        <w:rPr>
          <w:b w:val="0"/>
        </w:rPr>
        <w:t>The Year 1 inspections run between February and March 2027 so that Level 3/4 recommendations reach Council early and JCE can complete the valuation as at 30/06/2027. Dates assume award on 11/12/2026.</w:t>
      </w:r>
    </w:p>
    <w:tbl>
      <w:tblPr>
        <w:tblStyle w:val="TableGrid"/>
        <w:tblW w:type="auto" w:w="0"/>
        <w:jc w:val="center"/>
        <w:tblLook w:firstColumn="1" w:firstRow="1" w:lastColumn="0" w:lastRow="0" w:noHBand="0" w:noVBand="1" w:val="04A0"/>
      </w:tblPr>
      <w:tblGrid>
        <w:gridCol w:w="4819"/>
        <w:gridCol w:w="4819"/>
      </w:tblGrid>
      <w:tr>
        <w:trPr>
          <w:tblHeader/>
          <w:cantSplit/>
        </w:trPr>
        <w:tc>
          <w:tcPr>
            <w:tcW w:type="dxa" w:w="6236"/>
            <w:shd w:val="clear" w:color="auto" w:fill="1F3A5F"/>
          </w:tcPr>
          <w:p>
            <w:pPr>
              <w:keepNext/>
              <w:spacing w:after="20"/>
            </w:pPr>
            <w:r>
              <w:rPr>
                <w:b/>
                <w:color w:val="FFFFFF"/>
                <w:sz w:val="18"/>
              </w:rPr>
              <w:t>Milestone</w:t>
            </w:r>
          </w:p>
        </w:tc>
        <w:tc>
          <w:tcPr>
            <w:tcW w:type="dxa" w:w="3402"/>
            <w:shd w:val="clear" w:color="auto" w:fill="1F3A5F"/>
          </w:tcPr>
          <w:p>
            <w:pPr>
              <w:keepNext/>
              <w:spacing w:after="20"/>
            </w:pPr>
            <w:r>
              <w:rPr>
                <w:b/>
                <w:color w:val="FFFFFF"/>
                <w:sz w:val="18"/>
              </w:rPr>
              <w:t>Date</w:t>
            </w:r>
          </w:p>
        </w:tc>
      </w:tr>
      <w:tr>
        <w:trPr>
          <w:cantSplit/>
        </w:trPr>
        <w:tc>
          <w:tcPr>
            <w:tcW w:type="dxa" w:w="6236"/>
          </w:tcPr>
          <w:p>
            <w:pPr>
              <w:keepNext/>
              <w:spacing w:after="20"/>
            </w:pPr>
            <w:r>
              <w:rPr>
                <w:sz w:val="18"/>
              </w:rPr>
              <w:t>Quote due</w:t>
            </w:r>
          </w:p>
        </w:tc>
        <w:tc>
          <w:tcPr>
            <w:tcW w:type="dxa" w:w="3402"/>
          </w:tcPr>
          <w:p>
            <w:pPr>
              <w:keepNext/>
              <w:spacing w:after="20"/>
            </w:pPr>
            <w:r>
              <w:rPr>
                <w:sz w:val="18"/>
              </w:rPr>
              <w:t>12:00 pm, Friday 30/10/2026</w:t>
            </w:r>
          </w:p>
        </w:tc>
      </w:tr>
      <w:tr>
        <w:trPr>
          <w:cantSplit/>
        </w:trPr>
        <w:tc>
          <w:tcPr>
            <w:tcW w:type="dxa" w:w="6236"/>
          </w:tcPr>
          <w:p>
            <w:pPr>
              <w:keepNext/>
              <w:spacing w:after="20"/>
            </w:pPr>
            <w:r>
              <w:rPr>
                <w:sz w:val="18"/>
              </w:rPr>
              <w:t>Tender closes</w:t>
            </w:r>
          </w:p>
        </w:tc>
        <w:tc>
          <w:tcPr>
            <w:tcW w:type="dxa" w:w="3402"/>
          </w:tcPr>
          <w:p>
            <w:pPr>
              <w:keepNext/>
              <w:spacing w:after="20"/>
            </w:pPr>
            <w:r>
              <w:rPr>
                <w:sz w:val="18"/>
              </w:rPr>
              <w:t>2:00 pm, Friday 13/11/2026</w:t>
            </w:r>
          </w:p>
        </w:tc>
      </w:tr>
      <w:tr>
        <w:trPr>
          <w:cantSplit/>
        </w:trPr>
        <w:tc>
          <w:tcPr>
            <w:tcW w:type="dxa" w:w="6236"/>
          </w:tcPr>
          <w:p>
            <w:pPr>
              <w:keepNext/>
              <w:spacing w:after="20"/>
            </w:pPr>
            <w:r>
              <w:rPr>
                <w:sz w:val="18"/>
              </w:rPr>
              <w:t>Award (Council's expected decision date)</w:t>
            </w:r>
          </w:p>
        </w:tc>
        <w:tc>
          <w:tcPr>
            <w:tcW w:type="dxa" w:w="3402"/>
          </w:tcPr>
          <w:p>
            <w:pPr>
              <w:keepNext/>
              <w:spacing w:after="20"/>
            </w:pPr>
            <w:r>
              <w:rPr>
                <w:sz w:val="18"/>
              </w:rPr>
              <w:t>Friday 11/12/2026</w:t>
            </w:r>
          </w:p>
        </w:tc>
      </w:tr>
      <w:tr>
        <w:trPr>
          <w:cantSplit/>
        </w:trPr>
        <w:tc>
          <w:tcPr>
            <w:tcW w:type="dxa" w:w="6236"/>
          </w:tcPr>
          <w:p>
            <w:pPr>
              <w:keepNext/>
              <w:spacing w:after="20"/>
            </w:pPr>
            <w:r>
              <w:rPr>
                <w:sz w:val="18"/>
              </w:rPr>
              <w:t>Your SWMS, safety plan and access methodology to JCE</w:t>
            </w:r>
          </w:p>
        </w:tc>
        <w:tc>
          <w:tcPr>
            <w:tcW w:type="dxa" w:w="3402"/>
          </w:tcPr>
          <w:p>
            <w:pPr>
              <w:keepNext/>
              <w:spacing w:after="20"/>
            </w:pPr>
            <w:r>
              <w:rPr>
                <w:sz w:val="18"/>
              </w:rPr>
              <w:t>Monday 14/12/2026</w:t>
            </w:r>
          </w:p>
        </w:tc>
      </w:tr>
      <w:tr>
        <w:trPr>
          <w:cantSplit/>
        </w:trPr>
        <w:tc>
          <w:tcPr>
            <w:tcW w:type="dxa" w:w="6236"/>
          </w:tcPr>
          <w:p>
            <w:pPr>
              <w:keepNext/>
              <w:spacing w:after="20"/>
            </w:pPr>
            <w:r>
              <w:rPr>
                <w:sz w:val="18"/>
              </w:rPr>
              <w:t>Hold point submissions to Council</w:t>
            </w:r>
          </w:p>
        </w:tc>
        <w:tc>
          <w:tcPr>
            <w:tcW w:type="dxa" w:w="3402"/>
          </w:tcPr>
          <w:p>
            <w:pPr>
              <w:keepNext/>
              <w:spacing w:after="20"/>
            </w:pPr>
            <w:r>
              <w:rPr>
                <w:sz w:val="18"/>
              </w:rPr>
              <w:t>Friday 18/12/2026</w:t>
            </w:r>
          </w:p>
        </w:tc>
      </w:tr>
      <w:tr>
        <w:trPr>
          <w:cantSplit/>
        </w:trPr>
        <w:tc>
          <w:tcPr>
            <w:tcW w:type="dxa" w:w="6236"/>
          </w:tcPr>
          <w:p>
            <w:pPr>
              <w:keepNext/>
              <w:spacing w:after="20"/>
            </w:pPr>
            <w:r>
              <w:rPr>
                <w:sz w:val="18"/>
              </w:rPr>
              <w:t>Inception and Council WHS induction, Moama</w:t>
            </w:r>
          </w:p>
        </w:tc>
        <w:tc>
          <w:tcPr>
            <w:tcW w:type="dxa" w:w="3402"/>
          </w:tcPr>
          <w:p>
            <w:pPr>
              <w:keepNext/>
              <w:spacing w:after="20"/>
            </w:pPr>
            <w:r>
              <w:rPr>
                <w:sz w:val="18"/>
              </w:rPr>
              <w:t>Tuesday 12/01/2027</w:t>
            </w:r>
          </w:p>
        </w:tc>
      </w:tr>
      <w:tr>
        <w:trPr>
          <w:cantSplit/>
        </w:trPr>
        <w:tc>
          <w:tcPr>
            <w:tcW w:type="dxa" w:w="6236"/>
          </w:tcPr>
          <w:p>
            <w:pPr>
              <w:keepNext/>
              <w:spacing w:after="20"/>
            </w:pPr>
            <w:r>
              <w:rPr>
                <w:sz w:val="18"/>
              </w:rPr>
              <w:t>Pilot structures, Moama (with JCE)</w:t>
            </w:r>
          </w:p>
        </w:tc>
        <w:tc>
          <w:tcPr>
            <w:tcW w:type="dxa" w:w="3402"/>
          </w:tcPr>
          <w:p>
            <w:pPr>
              <w:keepNext/>
              <w:spacing w:after="20"/>
            </w:pPr>
            <w:r>
              <w:rPr>
                <w:sz w:val="18"/>
              </w:rPr>
              <w:t>27/01/2027 to 29/01/2027</w:t>
            </w:r>
          </w:p>
        </w:tc>
      </w:tr>
      <w:tr>
        <w:trPr>
          <w:cantSplit/>
        </w:trPr>
        <w:tc>
          <w:tcPr>
            <w:tcW w:type="dxa" w:w="6236"/>
          </w:tcPr>
          <w:p>
            <w:pPr>
              <w:keepNext/>
              <w:spacing w:after="20"/>
            </w:pPr>
            <w:r>
              <w:rPr>
                <w:sz w:val="18"/>
              </w:rPr>
              <w:t>Level 2 inspections, all four zones</w:t>
            </w:r>
          </w:p>
        </w:tc>
        <w:tc>
          <w:tcPr>
            <w:tcW w:type="dxa" w:w="3402"/>
          </w:tcPr>
          <w:p>
            <w:pPr>
              <w:keepNext/>
              <w:spacing w:after="20"/>
            </w:pPr>
            <w:r>
              <w:rPr>
                <w:sz w:val="18"/>
              </w:rPr>
              <w:t>15/02/2027 to 25/03/2027</w:t>
            </w:r>
          </w:p>
        </w:tc>
      </w:tr>
      <w:tr>
        <w:trPr>
          <w:cantSplit/>
        </w:trPr>
        <w:tc>
          <w:tcPr>
            <w:tcW w:type="dxa" w:w="6236"/>
          </w:tcPr>
          <w:p>
            <w:pPr>
              <w:keepNext/>
              <w:spacing w:after="20"/>
            </w:pPr>
            <w:r>
              <w:rPr>
                <w:sz w:val="18"/>
              </w:rPr>
              <w:t>Final reports and data to JCE</w:t>
            </w:r>
          </w:p>
        </w:tc>
        <w:tc>
          <w:tcPr>
            <w:tcW w:type="dxa" w:w="3402"/>
          </w:tcPr>
          <w:p>
            <w:pPr>
              <w:keepNext/>
              <w:spacing w:after="20"/>
            </w:pPr>
            <w:r>
              <w:rPr>
                <w:sz w:val="18"/>
              </w:rPr>
              <w:t>Thursday 01/04/2027</w:t>
            </w:r>
          </w:p>
        </w:tc>
      </w:tr>
      <w:tr>
        <w:trPr>
          <w:cantSplit/>
        </w:trPr>
        <w:tc>
          <w:tcPr>
            <w:tcW w:type="dxa" w:w="6236"/>
          </w:tcPr>
          <w:p>
            <w:pPr>
              <w:spacing w:after="20"/>
            </w:pPr>
            <w:r>
              <w:rPr>
                <w:sz w:val="18"/>
              </w:rPr>
              <w:t>Rolling zones 2028 to 2031</w:t>
            </w:r>
          </w:p>
        </w:tc>
        <w:tc>
          <w:tcPr>
            <w:tcW w:type="dxa" w:w="3402"/>
          </w:tcPr>
          <w:p>
            <w:pPr>
              <w:spacing w:after="20"/>
            </w:pPr>
            <w:r>
              <w:rPr>
                <w:sz w:val="18"/>
              </w:rPr>
              <w:t>Inspections February to March; reports by 30 April each year</w:t>
            </w:r>
          </w:p>
        </w:tc>
      </w:tr>
    </w:tbl>
    <w:p>
      <w:pPr>
        <w:spacing w:after="0"/>
      </w:pPr>
    </w:p>
    <w:p>
      <w:r>
        <w:rPr>
          <w:b w:val="0"/>
        </w:rPr>
        <w:t>Please confirm you can meet these dates and state the staff, crews and vehicles you will commit in each period.</w:t>
      </w:r>
    </w:p>
    <w:p>
      <w:pPr>
        <w:keepNext/>
        <w:spacing w:before="200"/>
      </w:pPr>
      <w:r>
        <w:rPr>
          <w:b/>
          <w:color w:val="1F3A5F"/>
          <w:sz w:val="23"/>
        </w:rPr>
        <w:t>5.0   Information provided</w:t>
      </w:r>
    </w:p>
    <w:p>
      <w:pPr>
        <w:pStyle w:val="ListBullet"/>
        <w:keepNext/>
        <w:spacing w:after="40"/>
      </w:pPr>
      <w:r>
        <w:t>Council's Project Brief (MRC-2645_Project_Brief.pdf).</w:t>
      </w:r>
    </w:p>
    <w:p>
      <w:pPr>
        <w:pStyle w:val="ListBullet"/>
        <w:keepNext/>
        <w:spacing w:after="40"/>
      </w:pPr>
      <w:r>
        <w:t>Council's asset data template (MRC-2645_asset_data_schema-data_template_August_2026.xlsx).</w:t>
      </w:r>
    </w:p>
    <w:p>
      <w:pPr>
        <w:pStyle w:val="ListBullet"/>
        <w:spacing w:after="40"/>
      </w:pPr>
      <w:r>
        <w:t>Council's Conditions of Tender and draft Consultancy Services Agreement, from JCE on request.</w:t>
      </w:r>
    </w:p>
    <w:p>
      <w:pPr>
        <w:keepNext/>
        <w:spacing w:before="200"/>
      </w:pPr>
      <w:r>
        <w:rPr>
          <w:b/>
          <w:color w:val="1F3A5F"/>
          <w:sz w:val="23"/>
        </w:rPr>
        <w:t>6.0   Insurance, WHS and quality requirements</w:t>
      </w:r>
    </w:p>
    <w:p>
      <w:pPr>
        <w:keepNext/>
      </w:pPr>
      <w:r>
        <w:rPr>
          <w:b/>
        </w:rPr>
        <w:t xml:space="preserve">Insurance. </w:t>
      </w:r>
      <w:r>
        <w:rPr>
          <w:b w:val="0"/>
        </w:rPr>
        <w:t>Item 18 of Council's draft Consultancy Services Agreement sets these minimums, which JCE will pass down to its subconsultants:</w:t>
      </w:r>
    </w:p>
    <w:p>
      <w:pPr>
        <w:pStyle w:val="ListBullet"/>
        <w:keepNext/>
        <w:spacing w:after="40"/>
      </w:pPr>
      <w:r>
        <w:t>Professional indemnity insurance of at least $5 million for each subconsultant (Item 18(c)), kept in force until seven years after Completion of the services (clause 14.1).</w:t>
      </w:r>
    </w:p>
    <w:p>
      <w:pPr>
        <w:pStyle w:val="ListBullet"/>
        <w:keepNext/>
        <w:spacing w:after="40"/>
      </w:pPr>
      <w:r>
        <w:t>Public liability insurance of at least $20 million for any one occurrence (Item 18(a)). The Agreement requires the public liability policy to cover all subconsultants unless Council approves otherwise, so please state your own cover.</w:t>
      </w:r>
    </w:p>
    <w:p>
      <w:pPr>
        <w:pStyle w:val="ListBullet"/>
        <w:keepNext/>
        <w:spacing w:after="40"/>
      </w:pPr>
      <w:r>
        <w:t>Workers compensation insurance as required by law (clause 14.1).</w:t>
      </w:r>
    </w:p>
    <w:p>
      <w:pPr>
        <w:pStyle w:val="ListBullet"/>
        <w:spacing w:after="40"/>
      </w:pPr>
      <w:r>
        <w:t>Comprehensive motor vehicle insurance for project vehicles (JCE requirement).</w:t>
      </w:r>
    </w:p>
    <w:p>
      <w:r>
        <w:rPr>
          <w:b w:val="0"/>
        </w:rPr>
        <w:t>Please state your insurer, levels of cover and expiry dates, and attach current certificates of currency.</w:t>
      </w:r>
    </w:p>
    <w:p>
      <w:r>
        <w:rPr>
          <w:b/>
        </w:rPr>
        <w:t xml:space="preserve">Work health and safety. </w:t>
      </w:r>
      <w:r>
        <w:rPr>
          <w:b w:val="0"/>
        </w:rPr>
        <w:t>A documented WHS system; SWMS and a site-specific safety plan, which are Council hold points before any site work; Council WHS induction before site access; AS 4602 high-visibility clothing and AS 2210 footwear. No road or bridge closures without Council agreement. Council may audit site work without notice.</w:t>
      </w:r>
    </w:p>
    <w:p>
      <w:r>
        <w:rPr>
          <w:b/>
        </w:rPr>
        <w:t xml:space="preserve">Quality. </w:t>
      </w:r>
      <w:r>
        <w:rPr>
          <w:b w:val="0"/>
        </w:rPr>
        <w:t>Item 12 of the Agreement names ISO 9001 as the quality system. Please state whether your quality system is certified and describe your QA checks for this work.</w:t>
      </w:r>
    </w:p>
    <w:p>
      <w:r>
        <w:rPr>
          <w:b/>
        </w:rPr>
        <w:t xml:space="preserve">Payment. </w:t>
      </w:r>
      <w:r>
        <w:rPr>
          <w:b w:val="0"/>
        </w:rPr>
        <w:t>Council pays the Lead Consultant against milestones each year: mobilisation 20%, inspections complete 30%, draft data 25%, draft report 15%, final data and report 10%. JCE will pay you on the same milestones.</w:t>
      </w:r>
    </w:p>
    <w:p>
      <w:pPr>
        <w:keepNext/>
        <w:spacing w:before="200"/>
      </w:pPr>
      <w:r>
        <w:rPr>
          <w:b/>
          <w:color w:val="1F3A5F"/>
          <w:sz w:val="23"/>
        </w:rPr>
        <w:t>7.0   Relevant experience and referees</w:t>
      </w:r>
    </w:p>
    <w:p>
      <w:pPr>
        <w:keepNext/>
      </w:pPr>
      <w:r>
        <w:rPr>
          <w:b w:val="0"/>
        </w:rPr>
        <w:t>Council scores Resources and Relevant Experience at 20% of the evaluation and asks for at least three similar projects with referees (Schedule 5). JCE has asked Council to confirm that partner staff, projects and referees are assessed. Your experience will carry much of this score, so please provide:</w:t>
      </w:r>
    </w:p>
    <w:p>
      <w:pPr>
        <w:pStyle w:val="ListBullet"/>
        <w:keepNext w:val="0"/>
        <w:spacing w:after="40"/>
      </w:pPr>
      <w:r>
        <w:t>Names and CVs of the inspectors and of the engineer who signs the reports (state CPEng, NER or equivalent). Council requires bridge inspection staff with a demonstrated track record and at least five years of bridge condition assessment of concrete, steel and timber bridges. TfNSW (including legacy RMS) bridge inspection experience is desirable.</w:t>
      </w:r>
    </w:p>
    <w:p>
      <w:pPr>
        <w:pStyle w:val="ListBullet"/>
        <w:keepNext w:val="0"/>
        <w:spacing w:after="40"/>
      </w:pPr>
      <w:r>
        <w:t>Two or three comparable council Level 2 bridge inspection programs in the last five years, preferably in NSW or northern Victoria.</w:t>
      </w:r>
    </w:p>
    <w:p>
      <w:pPr>
        <w:pStyle w:val="ListBullet"/>
        <w:keepNext w:val="0"/>
        <w:spacing w:after="40"/>
      </w:pPr>
      <w:r>
        <w:t>For each project: client, location, scope and quantities, year, contract value, your role, and a referee (name, position, phone and email) who has agreed to be contacted.</w:t>
      </w:r>
    </w:p>
    <w:p>
      <w:pPr>
        <w:pStyle w:val="ListBullet"/>
        <w:keepNext w:val="0"/>
        <w:spacing w:after="40"/>
      </w:pPr>
      <w:r>
        <w:t>Your permission for JCE to name your firm and key staff in its tender and to include the projects and referees you provide.</w:t>
      </w:r>
    </w:p>
    <w:p>
      <w:pPr>
        <w:pStyle w:val="ListBullet"/>
        <w:spacing w:after="40"/>
      </w:pPr>
      <w:r>
        <w:t>Local content (5% of the evaluation): any staff, office, depot, suppliers or accommodation spend in the Murray River LGA or the nearby cross-border towns, for example Echuca or Swan Hill.</w:t>
      </w:r>
    </w:p>
    <w:p>
      <w:pPr>
        <w:keepNext/>
        <w:spacing w:before="200"/>
      </w:pPr>
      <w:r>
        <w:rPr>
          <w:b/>
          <w:color w:val="1F3A5F"/>
          <w:sz w:val="23"/>
        </w:rPr>
        <w:t>8.0   Pricing schedule</w:t>
      </w:r>
    </w:p>
    <w:p>
      <w:pPr>
        <w:keepNext/>
      </w:pPr>
      <w:r>
        <w:rPr>
          <w:b w:val="0"/>
        </w:rPr>
        <w:t>Please price in Australian dollars, excluding GST. Each lump sum includes all labour, plant, travel, accommodation, processing and expenses. The 2028 to 2031 prices are lump sums for each year and include your escalation and an allowance for nominal network growth, as Council requires. JCE adds its own margin, so please do not include one for JCE.</w:t>
      </w:r>
    </w:p>
    <w:p>
      <w:pPr>
        <w:keepNext/>
        <w:spacing w:before="80"/>
      </w:pPr>
      <w:r>
        <w:rPr>
          <w:b/>
        </w:rPr>
        <w:t>A. Lump sums by item and asset class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737"/>
            <w:shd w:val="clear" w:color="auto" w:fill="1F3A5F"/>
          </w:tcPr>
          <w:p>
            <w:pPr>
              <w:spacing w:after="20"/>
            </w:pPr>
            <w:r>
              <w:rPr>
                <w:b/>
                <w:color w:val="FFFFFF"/>
                <w:sz w:val="18"/>
              </w:rPr>
              <w:t>Item</w:t>
            </w:r>
          </w:p>
        </w:tc>
        <w:tc>
          <w:tcPr>
            <w:tcW w:type="dxa" w:w="4252"/>
            <w:shd w:val="clear" w:color="auto" w:fill="1F3A5F"/>
          </w:tcPr>
          <w:p>
            <w:pPr>
              <w:spacing w:after="20"/>
            </w:pPr>
            <w:r>
              <w:rPr>
                <w:b/>
                <w:color w:val="FFFFFF"/>
                <w:sz w:val="18"/>
              </w:rPr>
              <w:t>Description</w:t>
            </w:r>
          </w:p>
        </w:tc>
        <w:tc>
          <w:tcPr>
            <w:tcW w:type="dxa" w:w="907"/>
            <w:shd w:val="clear" w:color="auto" w:fill="1F3A5F"/>
          </w:tcPr>
          <w:p>
            <w:pPr>
              <w:spacing w:after="20"/>
            </w:pPr>
            <w:r>
              <w:rPr>
                <w:b/>
                <w:color w:val="FFFFFF"/>
                <w:sz w:val="18"/>
              </w:rPr>
              <w:t>Unit</w:t>
            </w:r>
          </w:p>
        </w:tc>
        <w:tc>
          <w:tcPr>
            <w:tcW w:type="dxa" w:w="850"/>
            <w:shd w:val="clear" w:color="auto" w:fill="1F3A5F"/>
          </w:tcPr>
          <w:p>
            <w:pPr>
              <w:spacing w:after="20"/>
            </w:pPr>
            <w:r>
              <w:rPr>
                <w:b/>
                <w:color w:val="FFFFFF"/>
                <w:sz w:val="18"/>
              </w:rPr>
              <w:t>Qty</w:t>
            </w:r>
          </w:p>
        </w:tc>
        <w:tc>
          <w:tcPr>
            <w:tcW w:type="dxa" w:w="1361"/>
            <w:shd w:val="clear" w:color="auto" w:fill="1F3A5F"/>
          </w:tcPr>
          <w:p>
            <w:pPr>
              <w:spacing w:after="20"/>
            </w:pPr>
            <w:r>
              <w:rPr>
                <w:b/>
                <w:color w:val="FFFFFF"/>
                <w:sz w:val="18"/>
              </w:rPr>
              <w:t>Rate ($)</w:t>
            </w:r>
          </w:p>
        </w:tc>
        <w:tc>
          <w:tcPr>
            <w:tcW w:type="dxa" w:w="1531"/>
            <w:shd w:val="clear" w:color="auto" w:fill="1F3A5F"/>
          </w:tcPr>
          <w:p>
            <w:pPr>
              <w:spacing w:after="20"/>
            </w:pPr>
            <w:r>
              <w:rPr>
                <w:b/>
                <w:color w:val="FFFFFF"/>
                <w:sz w:val="18"/>
              </w:rPr>
              <w:t>Amount ($)</w:t>
            </w:r>
          </w:p>
        </w:tc>
      </w:tr>
      <w:tr>
        <w:trPr>
          <w:cantSplit/>
        </w:trPr>
        <w:tc>
          <w:tcPr>
            <w:tcW w:type="dxa" w:w="737"/>
          </w:tcPr>
          <w:p>
            <w:pPr>
              <w:spacing w:after="20"/>
            </w:pPr>
            <w:r>
              <w:rPr>
                <w:sz w:val="18"/>
              </w:rPr>
              <w:t>B1</w:t>
            </w:r>
          </w:p>
        </w:tc>
        <w:tc>
          <w:tcPr>
            <w:tcW w:type="dxa" w:w="4252"/>
          </w:tcPr>
          <w:p>
            <w:pPr>
              <w:spacing w:after="20"/>
            </w:pPr>
            <w:r>
              <w:rPr>
                <w:sz w:val="18"/>
              </w:rPr>
              <w:t>Mobilisation, access methodology, safety plan, travel and accommodation (Year 1)</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B2</w:t>
            </w:r>
          </w:p>
        </w:tc>
        <w:tc>
          <w:tcPr>
            <w:tcW w:type="dxa" w:w="4252"/>
          </w:tcPr>
          <w:p>
            <w:pPr>
              <w:spacing w:after="20"/>
            </w:pPr>
            <w:r>
              <w:rPr>
                <w:sz w:val="18"/>
              </w:rPr>
              <w:t>Level 2 inspection and report: concrete road bridge</w:t>
            </w:r>
          </w:p>
        </w:tc>
        <w:tc>
          <w:tcPr>
            <w:tcW w:type="dxa" w:w="907"/>
          </w:tcPr>
          <w:p>
            <w:pPr>
              <w:spacing w:after="20"/>
            </w:pPr>
            <w:r>
              <w:rPr>
                <w:sz w:val="18"/>
              </w:rPr>
              <w:t>each</w:t>
            </w:r>
          </w:p>
        </w:tc>
        <w:tc>
          <w:tcPr>
            <w:tcW w:type="dxa" w:w="850"/>
          </w:tcPr>
          <w:p>
            <w:pPr>
              <w:spacing w:after="20"/>
            </w:pPr>
            <w:r>
              <w:rPr>
                <w:sz w:val="18"/>
              </w:rPr>
              <w:t>62</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B3</w:t>
            </w:r>
          </w:p>
        </w:tc>
        <w:tc>
          <w:tcPr>
            <w:tcW w:type="dxa" w:w="4252"/>
          </w:tcPr>
          <w:p>
            <w:pPr>
              <w:spacing w:after="20"/>
            </w:pPr>
            <w:r>
              <w:rPr>
                <w:sz w:val="18"/>
              </w:rPr>
              <w:t>Level 2 inspection and report: composite road bridge</w:t>
            </w:r>
          </w:p>
        </w:tc>
        <w:tc>
          <w:tcPr>
            <w:tcW w:type="dxa" w:w="907"/>
          </w:tcPr>
          <w:p>
            <w:pPr>
              <w:spacing w:after="20"/>
            </w:pPr>
            <w:r>
              <w:rPr>
                <w:sz w:val="18"/>
              </w:rPr>
              <w:t>each</w:t>
            </w:r>
          </w:p>
        </w:tc>
        <w:tc>
          <w:tcPr>
            <w:tcW w:type="dxa" w:w="850"/>
          </w:tcPr>
          <w:p>
            <w:pPr>
              <w:spacing w:after="20"/>
            </w:pPr>
            <w:r>
              <w:rPr>
                <w:sz w:val="18"/>
              </w:rPr>
              <w:t>39</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B4</w:t>
            </w:r>
          </w:p>
        </w:tc>
        <w:tc>
          <w:tcPr>
            <w:tcW w:type="dxa" w:w="4252"/>
          </w:tcPr>
          <w:p>
            <w:pPr>
              <w:spacing w:after="20"/>
            </w:pPr>
            <w:r>
              <w:rPr>
                <w:sz w:val="18"/>
              </w:rPr>
              <w:t>Level 2 inspection and report: timber road bridge</w:t>
            </w:r>
          </w:p>
        </w:tc>
        <w:tc>
          <w:tcPr>
            <w:tcW w:type="dxa" w:w="907"/>
          </w:tcPr>
          <w:p>
            <w:pPr>
              <w:spacing w:after="20"/>
            </w:pPr>
            <w:r>
              <w:rPr>
                <w:sz w:val="18"/>
              </w:rPr>
              <w:t>each</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B5</w:t>
            </w:r>
          </w:p>
        </w:tc>
        <w:tc>
          <w:tcPr>
            <w:tcW w:type="dxa" w:w="4252"/>
          </w:tcPr>
          <w:p>
            <w:pPr>
              <w:spacing w:after="20"/>
            </w:pPr>
            <w:r>
              <w:rPr>
                <w:sz w:val="18"/>
              </w:rPr>
              <w:t>Level 2 inspection and report: major culvert</w:t>
            </w:r>
          </w:p>
        </w:tc>
        <w:tc>
          <w:tcPr>
            <w:tcW w:type="dxa" w:w="907"/>
          </w:tcPr>
          <w:p>
            <w:pPr>
              <w:spacing w:after="20"/>
            </w:pPr>
            <w:r>
              <w:rPr>
                <w:sz w:val="18"/>
              </w:rPr>
              <w:t>each</w:t>
            </w:r>
          </w:p>
        </w:tc>
        <w:tc>
          <w:tcPr>
            <w:tcW w:type="dxa" w:w="850"/>
          </w:tcPr>
          <w:p>
            <w:pPr>
              <w:spacing w:after="20"/>
            </w:pPr>
            <w:r>
              <w:rPr>
                <w:sz w:val="18"/>
              </w:rPr>
              <w:t>11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B6</w:t>
            </w:r>
          </w:p>
        </w:tc>
        <w:tc>
          <w:tcPr>
            <w:tcW w:type="dxa" w:w="4252"/>
          </w:tcPr>
          <w:p>
            <w:pPr>
              <w:spacing w:after="20"/>
            </w:pPr>
            <w:r>
              <w:rPr>
                <w:sz w:val="18"/>
              </w:rPr>
              <w:t>Level 2 inspection and report: footbridge (steel 9, timber 5)</w:t>
            </w:r>
          </w:p>
        </w:tc>
        <w:tc>
          <w:tcPr>
            <w:tcW w:type="dxa" w:w="907"/>
          </w:tcPr>
          <w:p>
            <w:pPr>
              <w:spacing w:after="20"/>
            </w:pPr>
            <w:r>
              <w:rPr>
                <w:sz w:val="18"/>
              </w:rPr>
              <w:t>each</w:t>
            </w:r>
          </w:p>
        </w:tc>
        <w:tc>
          <w:tcPr>
            <w:tcW w:type="dxa" w:w="850"/>
          </w:tcPr>
          <w:p>
            <w:pPr>
              <w:spacing w:after="20"/>
            </w:pPr>
            <w:r>
              <w:rPr>
                <w:sz w:val="18"/>
              </w:rPr>
              <w:t>14</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B7</w:t>
            </w:r>
          </w:p>
        </w:tc>
        <w:tc>
          <w:tcPr>
            <w:tcW w:type="dxa" w:w="4252"/>
          </w:tcPr>
          <w:p>
            <w:pPr>
              <w:spacing w:after="20"/>
            </w:pPr>
            <w:r>
              <w:rPr>
                <w:sz w:val="18"/>
              </w:rPr>
              <w:t>Summary register and data in Council's template</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shd w:val="clear" w:color="auto" w:fill="E8EEF5"/>
          </w:tcPr>
          <w:p>
            <w:pPr>
              <w:spacing w:after="20"/>
            </w:pPr>
            <w:r>
              <w:rPr>
                <w:b/>
                <w:sz w:val="18"/>
              </w:rPr>
            </w:r>
          </w:p>
        </w:tc>
        <w:tc>
          <w:tcPr>
            <w:tcW w:type="dxa" w:w="4252"/>
            <w:shd w:val="clear" w:color="auto" w:fill="E8EEF5"/>
          </w:tcPr>
          <w:p>
            <w:pPr>
              <w:spacing w:after="20"/>
            </w:pPr>
            <w:r>
              <w:rPr>
                <w:b/>
                <w:sz w:val="18"/>
              </w:rPr>
              <w:t>Total lump sum, Year 1 (2027), B1 to B7</w:t>
            </w:r>
          </w:p>
        </w:tc>
        <w:tc>
          <w:tcPr>
            <w:tcW w:type="dxa" w:w="907"/>
            <w:shd w:val="clear" w:color="auto" w:fill="E8EEF5"/>
          </w:tcPr>
          <w:p>
            <w:pPr>
              <w:spacing w:after="20"/>
            </w:pPr>
            <w:r>
              <w:rPr>
                <w:b/>
                <w:sz w:val="18"/>
              </w:rPr>
            </w:r>
          </w:p>
        </w:tc>
        <w:tc>
          <w:tcPr>
            <w:tcW w:type="dxa" w:w="850"/>
            <w:shd w:val="clear" w:color="auto" w:fill="E8EEF5"/>
          </w:tcPr>
          <w:p>
            <w:pPr>
              <w:spacing w:after="20"/>
            </w:pPr>
            <w:r>
              <w:rPr>
                <w:b/>
                <w:sz w:val="18"/>
              </w:rPr>
            </w:r>
          </w:p>
        </w:tc>
        <w:tc>
          <w:tcPr>
            <w:tcW w:type="dxa" w:w="1361"/>
            <w:shd w:val="clear" w:color="auto" w:fill="E8EEF5"/>
          </w:tcPr>
          <w:p>
            <w:pPr>
              <w:spacing w:after="20"/>
            </w:pPr>
            <w:r>
              <w:rPr>
                <w:b/>
                <w:sz w:val="18"/>
              </w:rPr>
            </w:r>
          </w:p>
        </w:tc>
        <w:tc>
          <w:tcPr>
            <w:tcW w:type="dxa" w:w="1531"/>
            <w:shd w:val="clear" w:color="auto" w:fill="E8EEF5"/>
          </w:tcPr>
          <w:p>
            <w:pPr>
              <w:spacing w:after="20"/>
            </w:pPr>
            <w:r>
              <w:rPr>
                <w:b/>
                <w:sz w:val="18"/>
              </w:rPr>
            </w:r>
          </w:p>
        </w:tc>
      </w:tr>
      <w:tr>
        <w:trPr>
          <w:cantSplit/>
        </w:trPr>
        <w:tc>
          <w:tcPr>
            <w:tcW w:type="dxa" w:w="737"/>
          </w:tcPr>
          <w:p>
            <w:pPr>
              <w:spacing w:after="20"/>
            </w:pPr>
            <w:r>
              <w:rPr>
                <w:sz w:val="18"/>
              </w:rPr>
              <w:t>Y2</w:t>
            </w:r>
          </w:p>
        </w:tc>
        <w:tc>
          <w:tcPr>
            <w:tcW w:type="dxa" w:w="4252"/>
          </w:tcPr>
          <w:p>
            <w:pPr>
              <w:spacing w:after="20"/>
            </w:pPr>
            <w:r>
              <w:rPr>
                <w:sz w:val="18"/>
              </w:rPr>
              <w:t>2028: Zone 1 Barham, Level 2 inspections (about 32 structures)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Y3</w:t>
            </w:r>
          </w:p>
        </w:tc>
        <w:tc>
          <w:tcPr>
            <w:tcW w:type="dxa" w:w="4252"/>
          </w:tcPr>
          <w:p>
            <w:pPr>
              <w:spacing w:after="20"/>
            </w:pPr>
            <w:r>
              <w:rPr>
                <w:sz w:val="18"/>
              </w:rPr>
              <w:t>2029: Zone 2 Mathoura, Level 2 inspections (about 32 structures)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Y4</w:t>
            </w:r>
          </w:p>
        </w:tc>
        <w:tc>
          <w:tcPr>
            <w:tcW w:type="dxa" w:w="4252"/>
          </w:tcPr>
          <w:p>
            <w:pPr>
              <w:spacing w:after="20"/>
            </w:pPr>
            <w:r>
              <w:rPr>
                <w:sz w:val="18"/>
              </w:rPr>
              <w:t>2030: Zone 3 Moama, Level 2 inspections (about 32 structures)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Y5</w:t>
            </w:r>
          </w:p>
        </w:tc>
        <w:tc>
          <w:tcPr>
            <w:tcW w:type="dxa" w:w="4252"/>
          </w:tcPr>
          <w:p>
            <w:pPr>
              <w:spacing w:after="20"/>
            </w:pPr>
            <w:r>
              <w:rPr>
                <w:sz w:val="18"/>
              </w:rPr>
              <w:t>2031: Zone 4 Moulamein, Level 2 inspections (about 32 structures)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OPT</w:t>
            </w:r>
          </w:p>
        </w:tc>
        <w:tc>
          <w:tcPr>
            <w:tcW w:type="dxa" w:w="4252"/>
          </w:tcPr>
          <w:p>
            <w:pPr>
              <w:spacing w:after="20"/>
            </w:pPr>
            <w:r>
              <w:rPr>
                <w:sz w:val="18"/>
              </w:rPr>
              <w:t>Option (not in the lump sum): Level 3/4 inspection including load capacity assessment</w:t>
            </w:r>
          </w:p>
        </w:tc>
        <w:tc>
          <w:tcPr>
            <w:tcW w:type="dxa" w:w="907"/>
          </w:tcPr>
          <w:p>
            <w:pPr>
              <w:spacing w:after="20"/>
            </w:pPr>
            <w:r>
              <w:rPr>
                <w:sz w:val="18"/>
              </w:rPr>
              <w:t>per bridge</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bl>
    <w:p>
      <w:pPr>
        <w:spacing w:after="0"/>
      </w:pPr>
    </w:p>
    <w:p>
      <w:pPr>
        <w:keepNext/>
        <w:spacing w:before="80"/>
      </w:pPr>
      <w:r>
        <w:rPr>
          <w:b/>
        </w:rPr>
        <w:t>B. Unit rates for added or removed quantities</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737"/>
            <w:shd w:val="clear" w:color="auto" w:fill="1F3A5F"/>
          </w:tcPr>
          <w:p>
            <w:pPr>
              <w:keepNext/>
              <w:spacing w:after="20"/>
            </w:pPr>
            <w:r>
              <w:rPr>
                <w:b/>
                <w:color w:val="FFFFFF"/>
                <w:sz w:val="18"/>
              </w:rPr>
              <w:t>Item</w:t>
            </w:r>
          </w:p>
        </w:tc>
        <w:tc>
          <w:tcPr>
            <w:tcW w:type="dxa" w:w="6123"/>
            <w:shd w:val="clear" w:color="auto" w:fill="1F3A5F"/>
          </w:tcPr>
          <w:p>
            <w:pPr>
              <w:keepNext/>
              <w:spacing w:after="20"/>
            </w:pPr>
            <w:r>
              <w:rPr>
                <w:b/>
                <w:color w:val="FFFFFF"/>
                <w:sz w:val="18"/>
              </w:rPr>
              <w:t>Description</w:t>
            </w:r>
          </w:p>
        </w:tc>
        <w:tc>
          <w:tcPr>
            <w:tcW w:type="dxa" w:w="1361"/>
            <w:shd w:val="clear" w:color="auto" w:fill="1F3A5F"/>
          </w:tcPr>
          <w:p>
            <w:pPr>
              <w:keepNext/>
              <w:spacing w:after="20"/>
            </w:pPr>
            <w:r>
              <w:rPr>
                <w:b/>
                <w:color w:val="FFFFFF"/>
                <w:sz w:val="18"/>
              </w:rPr>
              <w:t>Unit</w:t>
            </w:r>
          </w:p>
        </w:tc>
        <w:tc>
          <w:tcPr>
            <w:tcW w:type="dxa" w:w="1417"/>
            <w:shd w:val="clear" w:color="auto" w:fill="1F3A5F"/>
          </w:tcPr>
          <w:p>
            <w:pPr>
              <w:keepNext/>
              <w:spacing w:after="20"/>
            </w:pPr>
            <w:r>
              <w:rPr>
                <w:b/>
                <w:color w:val="FFFFFF"/>
                <w:sz w:val="18"/>
              </w:rPr>
              <w:t>Rate ($)</w:t>
            </w:r>
          </w:p>
        </w:tc>
      </w:tr>
      <w:tr>
        <w:trPr>
          <w:cantSplit/>
        </w:trPr>
        <w:tc>
          <w:tcPr>
            <w:tcW w:type="dxa" w:w="737"/>
          </w:tcPr>
          <w:p>
            <w:pPr>
              <w:keepNext/>
              <w:spacing w:after="20"/>
            </w:pPr>
            <w:r>
              <w:rPr>
                <w:sz w:val="18"/>
              </w:rPr>
              <w:t>U1</w:t>
            </w:r>
          </w:p>
        </w:tc>
        <w:tc>
          <w:tcPr>
            <w:tcW w:type="dxa" w:w="6123"/>
          </w:tcPr>
          <w:p>
            <w:pPr>
              <w:keepNext/>
              <w:spacing w:after="20"/>
            </w:pPr>
            <w:r>
              <w:rPr>
                <w:sz w:val="18"/>
              </w:rPr>
              <w:t>Level 2 inspection and report, road bridge or major culvert, added or removed</w:t>
            </w:r>
          </w:p>
        </w:tc>
        <w:tc>
          <w:tcPr>
            <w:tcW w:type="dxa" w:w="1361"/>
          </w:tcPr>
          <w:p>
            <w:pPr>
              <w:keepNext/>
              <w:spacing w:after="20"/>
            </w:pPr>
            <w:r>
              <w:rPr>
                <w:sz w:val="18"/>
              </w:rPr>
              <w:t>each</w:t>
            </w:r>
          </w:p>
        </w:tc>
        <w:tc>
          <w:tcPr>
            <w:tcW w:type="dxa" w:w="1417"/>
          </w:tcPr>
          <w:p>
            <w:pPr>
              <w:keepNext/>
              <w:spacing w:after="20"/>
            </w:pPr>
            <w:r>
              <w:rPr>
                <w:sz w:val="18"/>
              </w:rPr>
            </w:r>
          </w:p>
        </w:tc>
      </w:tr>
      <w:tr>
        <w:trPr>
          <w:cantSplit/>
        </w:trPr>
        <w:tc>
          <w:tcPr>
            <w:tcW w:type="dxa" w:w="737"/>
          </w:tcPr>
          <w:p>
            <w:pPr>
              <w:keepNext/>
              <w:spacing w:after="20"/>
            </w:pPr>
            <w:r>
              <w:rPr>
                <w:sz w:val="18"/>
              </w:rPr>
              <w:t>U2</w:t>
            </w:r>
          </w:p>
        </w:tc>
        <w:tc>
          <w:tcPr>
            <w:tcW w:type="dxa" w:w="6123"/>
          </w:tcPr>
          <w:p>
            <w:pPr>
              <w:keepNext/>
              <w:spacing w:after="20"/>
            </w:pPr>
            <w:r>
              <w:rPr>
                <w:sz w:val="18"/>
              </w:rPr>
              <w:t>Level 2 inspection and report, footbridge, added or removed</w:t>
            </w:r>
          </w:p>
        </w:tc>
        <w:tc>
          <w:tcPr>
            <w:tcW w:type="dxa" w:w="1361"/>
          </w:tcPr>
          <w:p>
            <w:pPr>
              <w:keepNext/>
              <w:spacing w:after="20"/>
            </w:pPr>
            <w:r>
              <w:rPr>
                <w:sz w:val="18"/>
              </w:rPr>
              <w:t>each</w:t>
            </w:r>
          </w:p>
        </w:tc>
        <w:tc>
          <w:tcPr>
            <w:tcW w:type="dxa" w:w="1417"/>
          </w:tcPr>
          <w:p>
            <w:pPr>
              <w:keepNext/>
              <w:spacing w:after="20"/>
            </w:pPr>
            <w:r>
              <w:rPr>
                <w:sz w:val="18"/>
              </w:rPr>
            </w:r>
          </w:p>
        </w:tc>
      </w:tr>
      <w:tr>
        <w:trPr>
          <w:cantSplit/>
        </w:trPr>
        <w:tc>
          <w:tcPr>
            <w:tcW w:type="dxa" w:w="737"/>
          </w:tcPr>
          <w:p>
            <w:pPr>
              <w:spacing w:after="20"/>
            </w:pPr>
            <w:r>
              <w:rPr>
                <w:sz w:val="18"/>
              </w:rPr>
              <w:t>U3</w:t>
            </w:r>
          </w:p>
        </w:tc>
        <w:tc>
          <w:tcPr>
            <w:tcW w:type="dxa" w:w="6123"/>
          </w:tcPr>
          <w:p>
            <w:pPr>
              <w:spacing w:after="20"/>
            </w:pPr>
            <w:r>
              <w:rPr>
                <w:sz w:val="18"/>
              </w:rPr>
              <w:t>Access equipment if required (state type)</w:t>
            </w:r>
          </w:p>
        </w:tc>
        <w:tc>
          <w:tcPr>
            <w:tcW w:type="dxa" w:w="1361"/>
          </w:tcPr>
          <w:p>
            <w:pPr>
              <w:spacing w:after="20"/>
            </w:pPr>
            <w:r>
              <w:rPr>
                <w:sz w:val="18"/>
              </w:rPr>
              <w:t>per day</w:t>
            </w:r>
          </w:p>
        </w:tc>
        <w:tc>
          <w:tcPr>
            <w:tcW w:type="dxa" w:w="1417"/>
          </w:tcPr>
          <w:p>
            <w:pPr>
              <w:spacing w:after="20"/>
            </w:pPr>
            <w:r>
              <w:rPr>
                <w:sz w:val="18"/>
              </w:rPr>
            </w:r>
          </w:p>
        </w:tc>
      </w:tr>
    </w:tbl>
    <w:p>
      <w:pPr>
        <w:spacing w:after="0"/>
      </w:pPr>
    </w:p>
    <w:p>
      <w:pPr>
        <w:keepNext/>
        <w:spacing w:before="80"/>
      </w:pPr>
      <w:r>
        <w:rPr>
          <w:b/>
        </w:rPr>
        <w:t>C. Hourly and day rates for directed additional work</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5102"/>
            <w:shd w:val="clear" w:color="auto" w:fill="1F3A5F"/>
          </w:tcPr>
          <w:p>
            <w:pPr>
              <w:keepNext/>
              <w:spacing w:after="20"/>
            </w:pPr>
            <w:r>
              <w:rPr>
                <w:b/>
                <w:color w:val="FFFFFF"/>
                <w:sz w:val="18"/>
              </w:rPr>
              <w:t>Role or resource</w:t>
            </w:r>
          </w:p>
        </w:tc>
        <w:tc>
          <w:tcPr>
            <w:tcW w:type="dxa" w:w="2268"/>
            <w:shd w:val="clear" w:color="auto" w:fill="1F3A5F"/>
          </w:tcPr>
          <w:p>
            <w:pPr>
              <w:keepNext/>
              <w:spacing w:after="20"/>
            </w:pPr>
            <w:r>
              <w:rPr>
                <w:b/>
                <w:color w:val="FFFFFF"/>
                <w:sz w:val="18"/>
              </w:rPr>
              <w:t>Hourly rate ($)</w:t>
            </w:r>
          </w:p>
        </w:tc>
        <w:tc>
          <w:tcPr>
            <w:tcW w:type="dxa" w:w="2268"/>
            <w:shd w:val="clear" w:color="auto" w:fill="1F3A5F"/>
          </w:tcPr>
          <w:p>
            <w:pPr>
              <w:keepNext/>
              <w:spacing w:after="20"/>
            </w:pPr>
            <w:r>
              <w:rPr>
                <w:b/>
                <w:color w:val="FFFFFF"/>
                <w:sz w:val="18"/>
              </w:rPr>
              <w:t>Day rate ($)</w:t>
            </w:r>
          </w:p>
        </w:tc>
      </w:tr>
      <w:tr>
        <w:trPr>
          <w:cantSplit/>
        </w:trPr>
        <w:tc>
          <w:tcPr>
            <w:tcW w:type="dxa" w:w="5102"/>
          </w:tcPr>
          <w:p>
            <w:pPr>
              <w:keepNext/>
              <w:spacing w:after="20"/>
            </w:pPr>
            <w:r>
              <w:rPr>
                <w:sz w:val="18"/>
              </w:rPr>
              <w:t>Principal or signing engineer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Bridge engineer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Bridge inspector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spacing w:after="20"/>
            </w:pPr>
            <w:r>
              <w:rPr>
                <w:sz w:val="18"/>
              </w:rPr>
              <w:t>Inspection team with vehicle</w:t>
            </w:r>
          </w:p>
        </w:tc>
        <w:tc>
          <w:tcPr>
            <w:tcW w:type="dxa" w:w="2268"/>
          </w:tcPr>
          <w:p>
            <w:pPr>
              <w:spacing w:after="20"/>
            </w:pPr>
            <w:r>
              <w:rPr>
                <w:sz w:val="18"/>
              </w:rPr>
            </w:r>
          </w:p>
        </w:tc>
        <w:tc>
          <w:tcPr>
            <w:tcW w:type="dxa" w:w="2268"/>
          </w:tcPr>
          <w:p>
            <w:pPr>
              <w:spacing w:after="20"/>
            </w:pPr>
            <w:r>
              <w:rPr>
                <w:sz w:val="18"/>
              </w:rPr>
            </w:r>
          </w:p>
        </w:tc>
      </w:tr>
    </w:tbl>
    <w:p>
      <w:pPr>
        <w:spacing w:after="0"/>
      </w:pPr>
    </w:p>
    <w:p>
      <w:r>
        <w:rPr>
          <w:b/>
        </w:rPr>
        <w:t xml:space="preserve">Exclusions and assumptions. </w:t>
      </w:r>
      <w:r>
        <w:rPr>
          <w:b w:val="0"/>
        </w:rPr>
        <w:t>Please list them. Council treats qualifications in a tender as non-conforming, so keep them few and plain.</w:t>
      </w:r>
    </w:p>
    <w:p>
      <w:r>
        <w:rPr>
          <w:b/>
        </w:rPr>
        <w:t xml:space="preserve">Validity. </w:t>
      </w:r>
      <w:r>
        <w:rPr>
          <w:b w:val="0"/>
        </w:rPr>
        <w:t>Please hold your prices for 90 days from the quote due date, that is to 28/01/2027. Council requires JCE's tender to stay open for 60 days after the 13/11/2026 close.</w:t>
      </w:r>
    </w:p>
    <w:p>
      <w:pPr>
        <w:keepNext/>
        <w:spacing w:before="200"/>
      </w:pPr>
      <w:r>
        <w:rPr>
          <w:b/>
          <w:color w:val="1F3A5F"/>
          <w:sz w:val="23"/>
        </w:rPr>
        <w:t>9.0   Confidentiality</w:t>
      </w:r>
    </w:p>
    <w:p>
      <w:r>
        <w:rPr>
          <w:b w:val="0"/>
        </w:rPr>
        <w:t>This request, Council's documents and any JCE pricing are confidential and are provided only for preparing your quotation. Please do not share them or use them for any other purpose, and delete them if you do not quote or if JCE is unsuccessful. If JCE is successful, clause 6.4 of the Agreement binds subconsultants to keep Council's information confidential, and Council data must not be kept after completion without Council's written consent. JCE will keep your pricing confidential and use it only for this tender.</w:t>
      </w:r>
    </w:p>
    <w:p>
      <w:pPr>
        <w:keepNext/>
        <w:spacing w:before="200"/>
      </w:pPr>
      <w:r>
        <w:rPr>
          <w:b/>
          <w:color w:val="1F3A5F"/>
          <w:sz w:val="23"/>
        </w:rPr>
        <w:t>10.0   Independence and conflict of interest</w:t>
      </w:r>
    </w:p>
    <w:p>
      <w:pPr>
        <w:keepNext/>
      </w:pPr>
      <w:r>
        <w:rPr>
          <w:b w:val="0"/>
        </w:rPr>
        <w:t>Council requires tenderers to declare any actual or potential conflict of interest (Conditions of Tender clause 4.1 and Schedule 9). Please tell us in your quotation:</w:t>
      </w:r>
    </w:p>
    <w:p>
      <w:pPr>
        <w:pStyle w:val="ListBullet"/>
        <w:keepNext/>
        <w:spacing w:after="40"/>
      </w:pPr>
      <w:r>
        <w:t>whether you are tendering for MRC-2645 yourself or quoting to other tenderers (this does not rule you out, but JCE needs to know, and JCE's documents must not be shared with them);</w:t>
      </w:r>
    </w:p>
    <w:p>
      <w:pPr>
        <w:pStyle w:val="ListBullet"/>
        <w:keepNext/>
        <w:spacing w:after="40"/>
      </w:pPr>
      <w:r>
        <w:t>any current or past work for Murray River Council on these assets, including the previous inspection and valuation cycle; and</w:t>
      </w:r>
    </w:p>
    <w:p>
      <w:pPr>
        <w:pStyle w:val="ListBullet"/>
        <w:spacing w:after="40"/>
      </w:pPr>
      <w:r>
        <w:t>any relationship with Council staff or Councillors that should be declared.</w:t>
      </w:r>
    </w:p>
    <w:p>
      <w:pPr>
        <w:keepNext/>
        <w:spacing w:before="200"/>
      </w:pPr>
      <w:r>
        <w:rPr>
          <w:b/>
          <w:color w:val="1F3A5F"/>
          <w:sz w:val="23"/>
        </w:rPr>
        <w:t>11.0   Basis of engagement</w:t>
      </w:r>
    </w:p>
    <w:p>
      <w:pPr>
        <w:pStyle w:val="ListBullet"/>
        <w:keepNext/>
        <w:spacing w:after="40"/>
      </w:pPr>
      <w:r>
        <w:t>Your engagement depends on Council awarding the contract to JCE and approving you as a subconsultant (clause 8 of the Agreement requires Council's prior written approval). This request is not an engagement, and JCE does not pay for preparing quotations.</w:t>
      </w:r>
    </w:p>
    <w:p>
      <w:pPr>
        <w:pStyle w:val="ListBullet"/>
        <w:spacing w:after="40"/>
      </w:pPr>
      <w:r>
        <w:t>If JCE is successful, JCE will engage you on a subconsultancy agreement that passes down the relevant terms of Council's Agreement, including insurance, WHS, confidentiality, records and payment on Council's milestones. Council expects to decide by 11/12/2026.</w:t>
      </w:r>
    </w:p>
    <w:p>
      <w:pPr>
        <w:keepNext/>
        <w:spacing w:before="200"/>
      </w:pPr>
      <w:r>
        <w:rPr>
          <w:b/>
          <w:color w:val="1F3A5F"/>
          <w:sz w:val="23"/>
        </w:rPr>
        <w:t>12.0   How to respond</w:t>
      </w:r>
    </w:p>
    <w:p>
      <w:pPr>
        <w:keepNext/>
      </w:pPr>
      <w:r>
        <w:rPr>
          <w:b w:val="0"/>
        </w:rPr>
        <w:t>Please email your quotation to jayden@jceinfrastructure.com.au by 12:00 pm, Friday 30/10/2026, with:</w:t>
      </w:r>
    </w:p>
    <w:p>
      <w:pPr>
        <w:pStyle w:val="ListBullet"/>
        <w:keepNext/>
        <w:spacing w:after="40"/>
      </w:pPr>
      <w:r>
        <w:t>the completed pricing schedule (parts A to C), exclusions and assumptions;</w:t>
      </w:r>
    </w:p>
    <w:p>
      <w:pPr>
        <w:pStyle w:val="ListBullet"/>
        <w:keepNext/>
        <w:spacing w:after="40"/>
      </w:pPr>
      <w:r>
        <w:t>a short methodology for your scope, including equipment and access;</w:t>
      </w:r>
    </w:p>
    <w:p>
      <w:pPr>
        <w:pStyle w:val="ListBullet"/>
        <w:keepNext/>
        <w:spacing w:after="40"/>
      </w:pPr>
      <w:r>
        <w:t>company profile, key staff CVs, three similar projects with referees, and your conflict of interest statement;</w:t>
      </w:r>
    </w:p>
    <w:p>
      <w:pPr>
        <w:pStyle w:val="ListBullet"/>
        <w:spacing w:after="40"/>
      </w:pPr>
      <w:r>
        <w:t>certificates of currency for the insurances in section 6.0.</w:t>
      </w:r>
    </w:p>
    <w:p>
      <w:r>
        <w:rPr>
          <w:b w:val="0"/>
        </w:rPr>
        <w:t>Please confirm by Monday 19/10/2026 whether you will quote. Questions are welcome by phone on 0477 207 027 or by email. Questions received by 12:00 pm, Wednesday 21/10/2026 can still be put to Council if needed.</w:t>
      </w:r>
    </w:p>
    <w:p>
      <w:pPr>
        <w:keepNext/>
        <w:spacing w:before="160"/>
      </w:pPr>
      <w:r>
        <w:rPr>
          <w:b w:val="0"/>
        </w:rPr>
        <w:t>Yours faithfully,</w:t>
      </w:r>
    </w:p>
    <w:p>
      <w:pPr>
        <w:keepNext/>
        <w:spacing w:after="280"/>
      </w:pPr>
      <w:r>
        <w:rPr>
          <w:b w:val="0"/>
        </w:rPr>
      </w:r>
    </w:p>
    <w:p>
      <w:pPr>
        <w:keepNext/>
        <w:spacing w:after="0"/>
      </w:pPr>
      <w:r>
        <w:rPr>
          <w:b/>
        </w:rPr>
        <w:t>Jayden Callen</w:t>
      </w:r>
    </w:p>
    <w:p>
      <w:pPr>
        <w:keepNext/>
        <w:spacing w:after="0"/>
      </w:pPr>
      <w:r>
        <w:rPr>
          <w:b w:val="0"/>
        </w:rPr>
        <w:t>Director</w:t>
      </w:r>
    </w:p>
    <w:p>
      <w:pPr>
        <w:keepNext/>
        <w:spacing w:after="0"/>
      </w:pPr>
      <w:r>
        <w:rPr>
          <w:b w:val="0"/>
        </w:rPr>
        <w:t>JCE Infrastructure Pty Ltd   |   ABN 29 699 165 663</w:t>
      </w:r>
    </w:p>
    <w:p>
      <w:pPr>
        <w:spacing w:after="0"/>
      </w:pPr>
      <w:r>
        <w:rPr>
          <w:b w:val="0"/>
        </w:rPr>
        <w:t>0477 207 027   |   jayden@jceinfrastructure.com.au</w:t>
      </w:r>
    </w:p>
    <w:sectPr w:rsidR="00FC693F" w:rsidRPr="0006063C" w:rsidSect="00034616">
      <w:headerReference w:type="default" r:id="rId9"/>
      <w:footerReference w:type="default" r:id="rId10"/>
      <w:pgSz w:w="11906" w:h="16838"/>
      <w:pgMar w:top="85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 xml:space="preserve">JCE Infrastructure Pty Ltd   |   JCE-RFQ-VP527277-02 Rev B   |   MRC-2645 (VP527277)   |   Confidential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color w:val="1F3A5F"/>
        <w:sz w:val="28"/>
      </w:rPr>
      <w:t>JCE Infrastructure Pty Ltd</w:t>
    </w:r>
  </w:p>
  <w:p>
    <w:pPr>
      <w:spacing w:after="0"/>
    </w:pPr>
    <w:r>
      <w:rPr>
        <w:color w:val="555555"/>
        <w:sz w:val="17"/>
      </w:rPr>
      <w:t>ABN 29 699 165 663   |   0477 207 027   |   jayden@jceinfrastructure.com.au</w:t>
    </w:r>
  </w:p>
  <w:p>
    <w:pPr>
      <w:spacing w:after="0"/>
      <w:pBdr>
        <w:bottom w:val="single" w:sz="8" w:space="4" w:color="1F3A5F"/>
      </w:pBdr>
    </w:pPr>
    <w:r>
      <w:rPr>
        <w:color w:val="555555"/>
        <w:sz w:val="17"/>
      </w:rPr>
      <w:t>756 Quia Road, Gunnedah NSW 2380   |   Civil and hydraulic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