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Valuer: review and sign-off of transport and bridge asset valuations</w:t>
      </w:r>
    </w:p>
    <w:p>
      <w:pPr>
        <w:spacing w:after="160"/>
      </w:pPr>
      <w:r>
        <w:rPr>
          <w:b w:val="0"/>
          <w:color w:val="555555"/>
          <w:sz w:val="20"/>
        </w:rPr>
        <w:t>Murray River Council tender MRC-2645, Infrastructure Asset Condition Assessments (VendorPanel VP527277)</w:t>
      </w:r>
    </w:p>
    <w:tbl>
      <w:tblPr>
        <w:tblStyle w:val="TableGrid"/>
        <w:tblW w:type="auto" w:w="0"/>
        <w:tblLook w:firstColumn="1" w:firstRow="1" w:lastColumn="0" w:lastRow="0" w:noHBand="0" w:noVBand="1" w:val="04A0"/>
      </w:tblPr>
      <w:tblGrid>
        <w:gridCol w:w="4819"/>
        <w:gridCol w:w="4819"/>
      </w:tblGrid>
      <w:tr>
        <w:tc>
          <w:tcPr>
            <w:tcW w:type="dxa" w:w="2608"/>
            <w:shd w:val="clear" w:color="auto" w:fill="E8EEF5"/>
          </w:tcPr>
          <w:p>
            <w:r>
              <w:rPr>
                <w:b/>
                <w:sz w:val="19"/>
              </w:rPr>
              <w:t>To</w:t>
            </w:r>
          </w:p>
        </w:tc>
        <w:tc>
          <w:tcPr>
            <w:tcW w:type="dxa" w:w="7030"/>
          </w:tcPr>
          <w:p>
            <w:r>
              <w:rPr>
                <w:b w:val="0"/>
                <w:sz w:val="19"/>
              </w:rPr>
              <w:t>Moloney Asset Management Systems, Principal</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JCE-RFQ-VP527277-03 (Rev B, final)</w:t>
            </w:r>
          </w:p>
        </w:tc>
      </w:tr>
      <w:tr>
        <w:tc>
          <w:tcPr>
            <w:tcW w:type="dxa" w:w="2608"/>
            <w:shd w:val="clear" w:color="auto" w:fill="E8EEF5"/>
          </w:tcPr>
          <w:p>
            <w:r>
              <w:rPr>
                <w:b/>
                <w:sz w:val="19"/>
              </w:rPr>
              <w:t>Quote due</w:t>
            </w:r>
          </w:p>
        </w:tc>
        <w:tc>
          <w:tcPr>
            <w:tcW w:type="dxa" w:w="7030"/>
          </w:tcPr>
          <w:p>
            <w:r>
              <w:rPr>
                <w:b/>
                <w:sz w:val="19"/>
              </w:rPr>
              <w:t>12:00 pm, Friday 30/10/2026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Moloney team,</w:t>
      </w:r>
    </w:p>
    <w:p>
      <w:r>
        <w:rPr>
          <w:b w:val="0"/>
        </w:rPr>
        <w:t>JCE invites you to quote for the review and signing of Murray River Council's transport and bridge infrastructure valuations from 2027 to 2031, as JCE's valuer in its tender for MRC-2645, with an alternative price for preparing the Year 1 valuation yourselves.</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Valuations required by Council (Project Brief sections 2 and 5):</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835"/>
            <w:shd w:val="clear" w:color="auto" w:fill="1F3A5F"/>
          </w:tcPr>
          <w:p>
            <w:pPr>
              <w:keepNext/>
              <w:spacing w:after="20"/>
            </w:pPr>
            <w:r>
              <w:rPr>
                <w:b/>
                <w:color w:val="FFFFFF"/>
                <w:sz w:val="18"/>
              </w:rPr>
              <w:t>Valuation</w:t>
            </w:r>
          </w:p>
        </w:tc>
        <w:tc>
          <w:tcPr>
            <w:tcW w:type="dxa" w:w="1361"/>
            <w:shd w:val="clear" w:color="auto" w:fill="1F3A5F"/>
          </w:tcPr>
          <w:p>
            <w:pPr>
              <w:keepNext/>
              <w:spacing w:after="20"/>
            </w:pPr>
            <w:r>
              <w:rPr>
                <w:b/>
                <w:color w:val="FFFFFF"/>
                <w:sz w:val="18"/>
              </w:rPr>
              <w:t>Date</w:t>
            </w:r>
          </w:p>
        </w:tc>
        <w:tc>
          <w:tcPr>
            <w:tcW w:type="dxa" w:w="3402"/>
            <w:shd w:val="clear" w:color="auto" w:fill="1F3A5F"/>
          </w:tcPr>
          <w:p>
            <w:pPr>
              <w:keepNext/>
              <w:spacing w:after="20"/>
            </w:pPr>
            <w:r>
              <w:rPr>
                <w:b/>
                <w:color w:val="FFFFFF"/>
                <w:sz w:val="18"/>
              </w:rPr>
              <w:t>Basis</w:t>
            </w:r>
          </w:p>
        </w:tc>
        <w:tc>
          <w:tcPr>
            <w:tcW w:type="dxa" w:w="2041"/>
            <w:shd w:val="clear" w:color="auto" w:fill="1F3A5F"/>
          </w:tcPr>
          <w:p>
            <w:pPr>
              <w:keepNext/>
              <w:spacing w:after="20"/>
            </w:pPr>
            <w:r>
              <w:rPr>
                <w:b/>
                <w:color w:val="FFFFFF"/>
                <w:sz w:val="18"/>
              </w:rPr>
              <w:t>Field input</w:t>
            </w:r>
          </w:p>
        </w:tc>
      </w:tr>
      <w:tr>
        <w:trPr>
          <w:cantSplit/>
        </w:trPr>
        <w:tc>
          <w:tcPr>
            <w:tcW w:type="dxa" w:w="2835"/>
          </w:tcPr>
          <w:p>
            <w:pPr>
              <w:keepNext/>
              <w:spacing w:after="20"/>
            </w:pPr>
            <w:r>
              <w:rPr>
                <w:sz w:val="18"/>
              </w:rPr>
              <w:t>Comprehensive valuation, all transport and bridge assets</w:t>
            </w:r>
          </w:p>
        </w:tc>
        <w:tc>
          <w:tcPr>
            <w:tcW w:type="dxa" w:w="1361"/>
          </w:tcPr>
          <w:p>
            <w:pPr>
              <w:keepNext/>
              <w:spacing w:after="20"/>
            </w:pPr>
            <w:r>
              <w:rPr>
                <w:sz w:val="18"/>
              </w:rPr>
              <w:t>30/06/2027</w:t>
            </w:r>
          </w:p>
        </w:tc>
        <w:tc>
          <w:tcPr>
            <w:tcW w:type="dxa" w:w="3402"/>
          </w:tcPr>
          <w:p>
            <w:pPr>
              <w:keepNext/>
              <w:spacing w:after="20"/>
            </w:pPr>
            <w:r>
              <w:rPr>
                <w:sz w:val="18"/>
              </w:rPr>
              <w:t>Fair value, AASB 13 and AASB 116; NSW Local Government Code of Accounting Practice and Financial Reporting</w:t>
            </w:r>
          </w:p>
        </w:tc>
        <w:tc>
          <w:tcPr>
            <w:tcW w:type="dxa" w:w="2041"/>
          </w:tcPr>
          <w:p>
            <w:pPr>
              <w:keepNext/>
              <w:spacing w:after="20"/>
            </w:pPr>
            <w:r>
              <w:rPr>
                <w:sz w:val="18"/>
              </w:rPr>
              <w:t>Full inspection of all four zones</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30/06/2028</w:t>
            </w:r>
          </w:p>
        </w:tc>
        <w:tc>
          <w:tcPr>
            <w:tcW w:type="dxa" w:w="3402"/>
          </w:tcPr>
          <w:p>
            <w:pPr>
              <w:keepNext/>
              <w:spacing w:after="20"/>
            </w:pPr>
            <w:r>
              <w:rPr>
                <w:sz w:val="18"/>
              </w:rPr>
              <w:t>As above</w:t>
            </w:r>
          </w:p>
        </w:tc>
        <w:tc>
          <w:tcPr>
            <w:tcW w:type="dxa" w:w="2041"/>
          </w:tcPr>
          <w:p>
            <w:pPr>
              <w:keepNext/>
              <w:spacing w:after="20"/>
            </w:pPr>
            <w:r>
              <w:rPr>
                <w:sz w:val="18"/>
              </w:rPr>
              <w:t>Zone 1 Barham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30/06/2029</w:t>
            </w:r>
          </w:p>
        </w:tc>
        <w:tc>
          <w:tcPr>
            <w:tcW w:type="dxa" w:w="3402"/>
          </w:tcPr>
          <w:p>
            <w:pPr>
              <w:keepNext/>
              <w:spacing w:after="20"/>
            </w:pPr>
            <w:r>
              <w:rPr>
                <w:sz w:val="18"/>
              </w:rPr>
              <w:t>As above</w:t>
            </w:r>
          </w:p>
        </w:tc>
        <w:tc>
          <w:tcPr>
            <w:tcW w:type="dxa" w:w="2041"/>
          </w:tcPr>
          <w:p>
            <w:pPr>
              <w:keepNext/>
              <w:spacing w:after="20"/>
            </w:pPr>
            <w:r>
              <w:rPr>
                <w:sz w:val="18"/>
              </w:rPr>
              <w:t>Zone 2 Mathoura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30/06/2030</w:t>
            </w:r>
          </w:p>
        </w:tc>
        <w:tc>
          <w:tcPr>
            <w:tcW w:type="dxa" w:w="3402"/>
          </w:tcPr>
          <w:p>
            <w:pPr>
              <w:keepNext/>
              <w:spacing w:after="20"/>
            </w:pPr>
            <w:r>
              <w:rPr>
                <w:sz w:val="18"/>
              </w:rPr>
              <w:t>As above</w:t>
            </w:r>
          </w:p>
        </w:tc>
        <w:tc>
          <w:tcPr>
            <w:tcW w:type="dxa" w:w="2041"/>
          </w:tcPr>
          <w:p>
            <w:pPr>
              <w:keepNext/>
              <w:spacing w:after="20"/>
            </w:pPr>
            <w:r>
              <w:rPr>
                <w:sz w:val="18"/>
              </w:rPr>
              <w:t>Zone 3 Moama inspected</w:t>
            </w:r>
          </w:p>
        </w:tc>
      </w:tr>
      <w:tr>
        <w:trPr>
          <w:cantSplit/>
        </w:trPr>
        <w:tc>
          <w:tcPr>
            <w:tcW w:type="dxa" w:w="2835"/>
          </w:tcPr>
          <w:p>
            <w:pPr>
              <w:spacing w:after="20"/>
            </w:pPr>
            <w:r>
              <w:rPr>
                <w:sz w:val="18"/>
              </w:rPr>
              <w:t>Comprehensive valuation of the whole class</w:t>
            </w:r>
          </w:p>
        </w:tc>
        <w:tc>
          <w:tcPr>
            <w:tcW w:type="dxa" w:w="1361"/>
          </w:tcPr>
          <w:p>
            <w:pPr>
              <w:spacing w:after="20"/>
            </w:pPr>
            <w:r>
              <w:rPr>
                <w:sz w:val="18"/>
              </w:rPr>
              <w:t>30/06/2031</w:t>
            </w:r>
          </w:p>
        </w:tc>
        <w:tc>
          <w:tcPr>
            <w:tcW w:type="dxa" w:w="3402"/>
          </w:tcPr>
          <w:p>
            <w:pPr>
              <w:spacing w:after="20"/>
            </w:pPr>
            <w:r>
              <w:rPr>
                <w:sz w:val="18"/>
              </w:rPr>
              <w:t>As above</w:t>
            </w:r>
          </w:p>
        </w:tc>
        <w:tc>
          <w:tcPr>
            <w:tcW w:type="dxa" w:w="2041"/>
          </w:tcPr>
          <w:p>
            <w:pPr>
              <w:spacing w:after="20"/>
            </w:pPr>
            <w:r>
              <w:rPr>
                <w:sz w:val="18"/>
              </w:rPr>
              <w:t>Zone 4 Moulamein inspected</w:t>
            </w:r>
          </w:p>
        </w:tc>
      </w:tr>
    </w:tbl>
    <w:p>
      <w:pPr>
        <w:spacing w:after="0"/>
      </w:pPr>
    </w:p>
    <w:p>
      <w:pPr>
        <w:keepNext/>
        <w:spacing w:before="200"/>
      </w:pPr>
      <w:r>
        <w:rPr>
          <w:b/>
          <w:color w:val="1F3A5F"/>
          <w:sz w:val="23"/>
        </w:rPr>
        <w:t>2.0   Scope of services requested</w:t>
      </w:r>
    </w:p>
    <w:p>
      <w:pPr>
        <w:keepNext/>
        <w:spacing w:before="80"/>
      </w:pPr>
      <w:r>
        <w:rPr>
          <w:b/>
        </w:rPr>
        <w:t>Asset classes</w:t>
      </w:r>
    </w:p>
    <w:p>
      <w:pPr>
        <w:pStyle w:val="ListBullet"/>
        <w:keepNext/>
        <w:spacing w:after="40"/>
      </w:pPr>
      <w:r>
        <w:t>Sealed roads (surface, pavement, formation; about 1,110 km), unsealed roads (wearing course, formation; about 1,890 km), kerb and gutter (176 km), footpaths and cycleways (121 km), roundabouts, traffic islands and medians, carparks (63), rural culverts (about 1,555), guardrail (about 500 items), bus shelters (about 35), bridges and major culverts (113) and footbridges (14).</w:t>
      </w:r>
    </w:p>
    <w:p>
      <w:pPr>
        <w:pStyle w:val="ListBullet"/>
        <w:spacing w:after="40"/>
      </w:pPr>
      <w:r>
        <w:t>Components per Appendix 2 of the brief; capitalisation thresholds per Appendix 3 (assets below threshold are recorded but flagged not to be valued).</w:t>
      </w:r>
    </w:p>
    <w:p>
      <w:pPr>
        <w:keepNext/>
        <w:spacing w:before="80"/>
      </w:pPr>
      <w:r>
        <w:rPr>
          <w:b/>
        </w:rPr>
        <w:t>Your role (base price)</w:t>
      </w:r>
    </w:p>
    <w:p>
      <w:pPr>
        <w:pStyle w:val="ListBullet"/>
        <w:keepNext/>
        <w:spacing w:after="40"/>
      </w:pPr>
      <w:r>
        <w:t>JCE prepares the valuation: componentisation, current replacement cost unit rates, useful lives, residual values, condition-based remaining lives, calculations and working papers.</w:t>
      </w:r>
    </w:p>
    <w:p>
      <w:pPr>
        <w:pStyle w:val="ListBullet"/>
        <w:keepNext/>
        <w:spacing w:after="40"/>
      </w:pPr>
      <w:r>
        <w:t>You review the methodology before it is applied, review unit rates and useful lives, sample-check the calculations and fair value hierarchy, and sign the valuation report as the qualified valuer, for each year from 2027 to 2031.</w:t>
      </w:r>
    </w:p>
    <w:p>
      <w:pPr>
        <w:pStyle w:val="ListBullet"/>
        <w:spacing w:after="40"/>
      </w:pPr>
      <w:r>
        <w:t>Any change to Council's recorded remaining lives or values must be explained in the report, as Council requires.</w:t>
      </w:r>
    </w:p>
    <w:p>
      <w:pPr>
        <w:keepNext/>
        <w:spacing w:before="80"/>
      </w:pPr>
      <w:r>
        <w:rPr>
          <w:b/>
        </w:rPr>
        <w:t>Alternative (for comparison)</w:t>
      </w:r>
    </w:p>
    <w:p>
      <w:pPr>
        <w:pStyle w:val="ListBullet"/>
        <w:spacing w:after="40"/>
      </w:pPr>
      <w:r>
        <w:t>You prepare the full Year 1 comprehensive valuation from JCE's condition and quantity data. Please price this separately so JCE can compare.</w:t>
      </w:r>
    </w:p>
    <w:p>
      <w:pPr>
        <w:keepNext/>
        <w:spacing w:before="200"/>
      </w:pPr>
      <w:r>
        <w:rPr>
          <w:b/>
          <w:color w:val="1F3A5F"/>
          <w:sz w:val="23"/>
        </w:rPr>
        <w:t>3.0   Deliverables and formats</w:t>
      </w:r>
    </w:p>
    <w:p>
      <w:pPr>
        <w:pStyle w:val="ListBullet"/>
        <w:keepNext/>
        <w:spacing w:after="40"/>
      </w:pPr>
      <w:r>
        <w:t>Methodology review comments (Year 1, before field work ends).</w:t>
      </w:r>
    </w:p>
    <w:p>
      <w:pPr>
        <w:pStyle w:val="ListBullet"/>
        <w:keepNext/>
        <w:spacing w:after="40"/>
      </w:pPr>
      <w:r>
        <w:t>Review comments on unit rates, useful lives and calculations.</w:t>
      </w:r>
    </w:p>
    <w:p>
      <w:pPr>
        <w:pStyle w:val="ListBullet"/>
        <w:spacing w:after="40"/>
      </w:pPr>
      <w:r>
        <w:t>Signed valuation summary report and methodology (Word and PDF) each year, suitable for Council's auditors.</w:t>
      </w:r>
    </w:p>
    <w:p>
      <w:pPr>
        <w:keepNext/>
        <w:spacing w:before="200"/>
      </w:pPr>
      <w:r>
        <w:rPr>
          <w:b/>
          <w:color w:val="1F3A5F"/>
          <w:sz w:val="23"/>
        </w:rPr>
        <w:t>4.0   Program</w:t>
      </w:r>
    </w:p>
    <w:p>
      <w:pPr>
        <w:keepNext/>
      </w:pPr>
      <w:r>
        <w:rPr>
          <w:b w:val="0"/>
        </w:rPr>
        <w:t>Program for the valuation as at 30/06/2027, assuming award on 11/12/2026:</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Friday 30/10/2026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Methodology to you for review</w:t>
            </w:r>
          </w:p>
        </w:tc>
        <w:tc>
          <w:tcPr>
            <w:tcW w:type="dxa" w:w="3402"/>
          </w:tcPr>
          <w:p>
            <w:pPr>
              <w:keepNext/>
              <w:spacing w:after="20"/>
            </w:pPr>
            <w:r>
              <w:rPr>
                <w:sz w:val="18"/>
              </w:rPr>
              <w:t>Friday 22/01/2027</w:t>
            </w:r>
          </w:p>
        </w:tc>
      </w:tr>
      <w:tr>
        <w:trPr>
          <w:cantSplit/>
        </w:trPr>
        <w:tc>
          <w:tcPr>
            <w:tcW w:type="dxa" w:w="6236"/>
          </w:tcPr>
          <w:p>
            <w:pPr>
              <w:keepNext/>
              <w:spacing w:after="20"/>
            </w:pPr>
            <w:r>
              <w:rPr>
                <w:sz w:val="18"/>
              </w:rPr>
              <w:t>Unit rates and useful lives to you</w:t>
            </w:r>
          </w:p>
        </w:tc>
        <w:tc>
          <w:tcPr>
            <w:tcW w:type="dxa" w:w="3402"/>
          </w:tcPr>
          <w:p>
            <w:pPr>
              <w:keepNext/>
              <w:spacing w:after="20"/>
            </w:pPr>
            <w:r>
              <w:rPr>
                <w:sz w:val="18"/>
              </w:rPr>
              <w:t>Friday 26/03/2027</w:t>
            </w:r>
          </w:p>
        </w:tc>
      </w:tr>
      <w:tr>
        <w:trPr>
          <w:cantSplit/>
        </w:trPr>
        <w:tc>
          <w:tcPr>
            <w:tcW w:type="dxa" w:w="6236"/>
          </w:tcPr>
          <w:p>
            <w:pPr>
              <w:keepNext/>
              <w:spacing w:after="20"/>
            </w:pPr>
            <w:r>
              <w:rPr>
                <w:sz w:val="18"/>
              </w:rPr>
              <w:t>Draft valuation to you</w:t>
            </w:r>
          </w:p>
        </w:tc>
        <w:tc>
          <w:tcPr>
            <w:tcW w:type="dxa" w:w="3402"/>
          </w:tcPr>
          <w:p>
            <w:pPr>
              <w:keepNext/>
              <w:spacing w:after="20"/>
            </w:pPr>
            <w:r>
              <w:rPr>
                <w:sz w:val="18"/>
              </w:rPr>
              <w:t>Friday 21/05/2027</w:t>
            </w:r>
          </w:p>
        </w:tc>
      </w:tr>
      <w:tr>
        <w:trPr>
          <w:cantSplit/>
        </w:trPr>
        <w:tc>
          <w:tcPr>
            <w:tcW w:type="dxa" w:w="6236"/>
          </w:tcPr>
          <w:p>
            <w:pPr>
              <w:keepNext/>
              <w:spacing w:after="20"/>
            </w:pPr>
            <w:r>
              <w:rPr>
                <w:sz w:val="18"/>
              </w:rPr>
              <w:t>Signed final report</w:t>
            </w:r>
          </w:p>
        </w:tc>
        <w:tc>
          <w:tcPr>
            <w:tcW w:type="dxa" w:w="3402"/>
          </w:tcPr>
          <w:p>
            <w:pPr>
              <w:keepNext/>
              <w:spacing w:after="20"/>
            </w:pPr>
            <w:r>
              <w:rPr>
                <w:sz w:val="18"/>
              </w:rPr>
              <w:t>Friday 25/06/2027</w:t>
            </w:r>
          </w:p>
        </w:tc>
      </w:tr>
      <w:tr>
        <w:trPr>
          <w:cantSplit/>
        </w:trPr>
        <w:tc>
          <w:tcPr>
            <w:tcW w:type="dxa" w:w="6236"/>
          </w:tcPr>
          <w:p>
            <w:pPr>
              <w:spacing w:after="20"/>
            </w:pPr>
            <w:r>
              <w:rPr>
                <w:sz w:val="18"/>
              </w:rPr>
              <w:t>Rolling valuations 2028 to 2031</w:t>
            </w:r>
          </w:p>
        </w:tc>
        <w:tc>
          <w:tcPr>
            <w:tcW w:type="dxa" w:w="3402"/>
          </w:tcPr>
          <w:p>
            <w:pPr>
              <w:spacing w:after="20"/>
            </w:pPr>
            <w:r>
              <w:rPr>
                <w:sz w:val="18"/>
              </w:rPr>
              <w:t>Draft by end of May; signed by 30 June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w:t>
      </w:r>
      <w:r>
        <w:rPr>
          <w:b w:val="0"/>
        </w:rPr>
        <w:t>Item 12 of the Agreement names ISO 9001 as the quality system. Please state whether your quality system is certified and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The name and CV of the valuer who signs, with qualifications (for example API Certified Practising Valuer, FAPI or MRICS) and NSW local government infrastructure valuation experience.</w:t>
      </w:r>
    </w:p>
    <w:p>
      <w:pPr>
        <w:pStyle w:val="ListBullet"/>
        <w:keepNext w:val="0"/>
        <w:spacing w:after="40"/>
      </w:pPr>
      <w:r>
        <w:t>Two or three comparable NSW council transport or bridge valuations in the last five years, ideally including councils that have passed audit with your report.</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737"/>
            <w:shd w:val="clear" w:color="auto" w:fill="1F3A5F"/>
          </w:tcPr>
          <w:p>
            <w:pPr>
              <w:keepNext/>
              <w:spacing w:after="20"/>
            </w:pPr>
            <w:r>
              <w:rPr>
                <w:b/>
                <w:color w:val="FFFFFF"/>
                <w:sz w:val="18"/>
              </w:rPr>
              <w:t>Item</w:t>
            </w:r>
          </w:p>
        </w:tc>
        <w:tc>
          <w:tcPr>
            <w:tcW w:type="dxa" w:w="4252"/>
            <w:shd w:val="clear" w:color="auto" w:fill="1F3A5F"/>
          </w:tcPr>
          <w:p>
            <w:pPr>
              <w:keepNext/>
              <w:spacing w:after="20"/>
            </w:pPr>
            <w:r>
              <w:rPr>
                <w:b/>
                <w:color w:val="FFFFFF"/>
                <w:sz w:val="18"/>
              </w:rPr>
              <w:t>Description</w:t>
            </w:r>
          </w:p>
        </w:tc>
        <w:tc>
          <w:tcPr>
            <w:tcW w:type="dxa" w:w="907"/>
            <w:shd w:val="clear" w:color="auto" w:fill="1F3A5F"/>
          </w:tcPr>
          <w:p>
            <w:pPr>
              <w:keepNext/>
              <w:spacing w:after="20"/>
            </w:pPr>
            <w:r>
              <w:rPr>
                <w:b/>
                <w:color w:val="FFFFFF"/>
                <w:sz w:val="18"/>
              </w:rPr>
              <w:t>Unit</w:t>
            </w:r>
          </w:p>
        </w:tc>
        <w:tc>
          <w:tcPr>
            <w:tcW w:type="dxa" w:w="850"/>
            <w:shd w:val="clear" w:color="auto" w:fill="1F3A5F"/>
          </w:tcPr>
          <w:p>
            <w:pPr>
              <w:keepNext/>
              <w:spacing w:after="20"/>
            </w:pPr>
            <w:r>
              <w:rPr>
                <w:b/>
                <w:color w:val="FFFFFF"/>
                <w:sz w:val="18"/>
              </w:rPr>
              <w:t>Qty</w:t>
            </w:r>
          </w:p>
        </w:tc>
        <w:tc>
          <w:tcPr>
            <w:tcW w:type="dxa" w:w="1361"/>
            <w:shd w:val="clear" w:color="auto" w:fill="1F3A5F"/>
          </w:tcPr>
          <w:p>
            <w:pPr>
              <w:keepNext/>
              <w:spacing w:after="20"/>
            </w:pPr>
            <w:r>
              <w:rPr>
                <w:b/>
                <w:color w:val="FFFFFF"/>
                <w:sz w:val="18"/>
              </w:rPr>
              <w:t>Rate ($)</w:t>
            </w:r>
          </w:p>
        </w:tc>
        <w:tc>
          <w:tcPr>
            <w:tcW w:type="dxa" w:w="1531"/>
            <w:shd w:val="clear" w:color="auto" w:fill="1F3A5F"/>
          </w:tcPr>
          <w:p>
            <w:pPr>
              <w:keepNext/>
              <w:spacing w:after="20"/>
            </w:pPr>
            <w:r>
              <w:rPr>
                <w:b/>
                <w:color w:val="FFFFFF"/>
                <w:sz w:val="18"/>
              </w:rPr>
              <w:t>Amount ($)</w:t>
            </w:r>
          </w:p>
        </w:tc>
      </w:tr>
      <w:tr>
        <w:trPr>
          <w:cantSplit/>
        </w:trPr>
        <w:tc>
          <w:tcPr>
            <w:tcW w:type="dxa" w:w="737"/>
          </w:tcPr>
          <w:p>
            <w:pPr>
              <w:keepNext/>
              <w:spacing w:after="20"/>
            </w:pPr>
            <w:r>
              <w:rPr>
                <w:sz w:val="18"/>
              </w:rPr>
              <w:t>V1</w:t>
            </w:r>
          </w:p>
        </w:tc>
        <w:tc>
          <w:tcPr>
            <w:tcW w:type="dxa" w:w="4252"/>
          </w:tcPr>
          <w:p>
            <w:pPr>
              <w:keepNext/>
              <w:spacing w:after="20"/>
            </w:pPr>
            <w:r>
              <w:rPr>
                <w:sz w:val="18"/>
              </w:rPr>
              <w:t>Year 1 (2027): methodology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V2</w:t>
            </w:r>
          </w:p>
        </w:tc>
        <w:tc>
          <w:tcPr>
            <w:tcW w:type="dxa" w:w="4252"/>
          </w:tcPr>
          <w:p>
            <w:pPr>
              <w:keepNext/>
              <w:spacing w:after="20"/>
            </w:pPr>
            <w:r>
              <w:rPr>
                <w:sz w:val="18"/>
              </w:rPr>
              <w:t>Year 1 (2027): review of unit rates and useful lives</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V3</w:t>
            </w:r>
          </w:p>
        </w:tc>
        <w:tc>
          <w:tcPr>
            <w:tcW w:type="dxa" w:w="4252"/>
          </w:tcPr>
          <w:p>
            <w:pPr>
              <w:keepNext/>
              <w:spacing w:after="20"/>
            </w:pPr>
            <w:r>
              <w:rPr>
                <w:sz w:val="18"/>
              </w:rPr>
              <w:t>Year 1 (2027): sample checks and fair value hierarchy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V4</w:t>
            </w:r>
          </w:p>
        </w:tc>
        <w:tc>
          <w:tcPr>
            <w:tcW w:type="dxa" w:w="4252"/>
          </w:tcPr>
          <w:p>
            <w:pPr>
              <w:keepNext/>
              <w:spacing w:after="20"/>
            </w:pPr>
            <w:r>
              <w:rPr>
                <w:sz w:val="18"/>
              </w:rPr>
              <w:t>Year 1 (2027): signed comprehensive valuation report as at 30/06/2027</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shd w:val="clear" w:color="auto" w:fill="E8EEF5"/>
          </w:tcPr>
          <w:p>
            <w:pPr>
              <w:keepNext/>
              <w:spacing w:after="20"/>
            </w:pPr>
            <w:r>
              <w:rPr>
                <w:b/>
                <w:sz w:val="18"/>
              </w:rPr>
            </w:r>
          </w:p>
        </w:tc>
        <w:tc>
          <w:tcPr>
            <w:tcW w:type="dxa" w:w="4252"/>
            <w:shd w:val="clear" w:color="auto" w:fill="E8EEF5"/>
          </w:tcPr>
          <w:p>
            <w:pPr>
              <w:keepNext/>
              <w:spacing w:after="20"/>
            </w:pPr>
            <w:r>
              <w:rPr>
                <w:b/>
                <w:sz w:val="18"/>
              </w:rPr>
              <w:t>Total lump sum, Year 1 (2027), V1 to V4</w:t>
            </w:r>
          </w:p>
        </w:tc>
        <w:tc>
          <w:tcPr>
            <w:tcW w:type="dxa" w:w="907"/>
            <w:shd w:val="clear" w:color="auto" w:fill="E8EEF5"/>
          </w:tcPr>
          <w:p>
            <w:pPr>
              <w:keepNext/>
              <w:spacing w:after="20"/>
            </w:pPr>
            <w:r>
              <w:rPr>
                <w:b/>
                <w:sz w:val="18"/>
              </w:rPr>
            </w:r>
          </w:p>
        </w:tc>
        <w:tc>
          <w:tcPr>
            <w:tcW w:type="dxa" w:w="850"/>
            <w:shd w:val="clear" w:color="auto" w:fill="E8EEF5"/>
          </w:tcPr>
          <w:p>
            <w:pPr>
              <w:keepNext/>
              <w:spacing w:after="20"/>
            </w:pPr>
            <w:r>
              <w:rPr>
                <w:b/>
                <w:sz w:val="18"/>
              </w:rPr>
            </w:r>
          </w:p>
        </w:tc>
        <w:tc>
          <w:tcPr>
            <w:tcW w:type="dxa" w:w="1361"/>
            <w:shd w:val="clear" w:color="auto" w:fill="E8EEF5"/>
          </w:tcPr>
          <w:p>
            <w:pPr>
              <w:keepNext/>
              <w:spacing w:after="20"/>
            </w:pPr>
            <w:r>
              <w:rPr>
                <w:b/>
                <w:sz w:val="18"/>
              </w:rPr>
            </w:r>
          </w:p>
        </w:tc>
        <w:tc>
          <w:tcPr>
            <w:tcW w:type="dxa" w:w="1531"/>
            <w:shd w:val="clear" w:color="auto" w:fill="E8EEF5"/>
          </w:tcPr>
          <w:p>
            <w:pPr>
              <w:keepNext/>
              <w:spacing w:after="20"/>
            </w:pPr>
            <w:r>
              <w:rPr>
                <w:b/>
                <w:sz w:val="18"/>
              </w:rPr>
            </w:r>
          </w:p>
        </w:tc>
      </w:tr>
      <w:tr>
        <w:trPr>
          <w:cantSplit/>
        </w:trPr>
        <w:tc>
          <w:tcPr>
            <w:tcW w:type="dxa" w:w="737"/>
          </w:tcPr>
          <w:p>
            <w:pPr>
              <w:keepNext/>
              <w:spacing w:after="20"/>
            </w:pPr>
            <w:r>
              <w:rPr>
                <w:sz w:val="18"/>
              </w:rPr>
              <w:t>Y2</w:t>
            </w:r>
          </w:p>
        </w:tc>
        <w:tc>
          <w:tcPr>
            <w:tcW w:type="dxa" w:w="4252"/>
          </w:tcPr>
          <w:p>
            <w:pPr>
              <w:keepNext/>
              <w:spacing w:after="20"/>
            </w:pPr>
            <w:r>
              <w:rPr>
                <w:sz w:val="18"/>
              </w:rPr>
              <w:t>2028: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Y3</w:t>
            </w:r>
          </w:p>
        </w:tc>
        <w:tc>
          <w:tcPr>
            <w:tcW w:type="dxa" w:w="4252"/>
          </w:tcPr>
          <w:p>
            <w:pPr>
              <w:keepNext/>
              <w:spacing w:after="20"/>
            </w:pPr>
            <w:r>
              <w:rPr>
                <w:sz w:val="18"/>
              </w:rPr>
              <w:t>2029: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Y4</w:t>
            </w:r>
          </w:p>
        </w:tc>
        <w:tc>
          <w:tcPr>
            <w:tcW w:type="dxa" w:w="4252"/>
          </w:tcPr>
          <w:p>
            <w:pPr>
              <w:keepNext/>
              <w:spacing w:after="20"/>
            </w:pPr>
            <w:r>
              <w:rPr>
                <w:sz w:val="18"/>
              </w:rPr>
              <w:t>2030: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Y5</w:t>
            </w:r>
          </w:p>
        </w:tc>
        <w:tc>
          <w:tcPr>
            <w:tcW w:type="dxa" w:w="4252"/>
          </w:tcPr>
          <w:p>
            <w:pPr>
              <w:keepNext/>
              <w:spacing w:after="20"/>
            </w:pPr>
            <w:r>
              <w:rPr>
                <w:sz w:val="18"/>
              </w:rPr>
              <w:t>2031: review and sign-off of comprehensive 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spacing w:after="20"/>
            </w:pPr>
            <w:r>
              <w:rPr>
                <w:sz w:val="18"/>
              </w:rPr>
              <w:t>ALT</w:t>
            </w:r>
          </w:p>
        </w:tc>
        <w:tc>
          <w:tcPr>
            <w:tcW w:type="dxa" w:w="4252"/>
          </w:tcPr>
          <w:p>
            <w:pPr>
              <w:spacing w:after="20"/>
            </w:pPr>
            <w:r>
              <w:rPr>
                <w:sz w:val="18"/>
              </w:rPr>
              <w:t>Alternative: you prepare the full Year 1 comprehensive valuation from JCE's data (please split by asset class if you can)</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Valuation of newly acquired assets listed by Council in rolling years, if not in Y2 to Y5</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U2</w:t>
            </w:r>
          </w:p>
        </w:tc>
        <w:tc>
          <w:tcPr>
            <w:tcW w:type="dxa" w:w="6123"/>
          </w:tcPr>
          <w:p>
            <w:pPr>
              <w:spacing w:after="20"/>
            </w:pPr>
            <w:r>
              <w:rPr>
                <w:sz w:val="18"/>
              </w:rPr>
              <w:t>Attendance at Council or audit meeting</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Director or signing valuer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Senior valuer or asset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Analyst</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28/01/2027.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Friday 30/10/2026,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JCE-RFQ-VP527277-03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