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Environmental Effects: a dwelling house</w:t>
      </w:r>
    </w:p>
    <w:p>
      <w:r>
        <w:rPr>
          <w:b/>
          <w:color w:val="C00000"/>
          <w:sz w:val="40"/>
        </w:rPr>
        <w:t>DRAFT</w:t>
      </w:r>
    </w:p>
    <w:p>
      <w:r>
        <w:rPr>
          <w:b/>
        </w:rPr>
        <w:t xml:space="preserve">Disclaimer. </w:t>
      </w:r>
      <w:r>
        <w:t>This Statement of Environmental Effects has been prepared as a drafting aid. It must be reviewed, completed and adopted by a suitably qualified person before it is relied on or lodged. It is not a planning assessment, an approval or advice. Items marked 'TO BE COMPLETED' have not been determined from the data supplied.</w:t>
      </w:r>
    </w:p>
    <w:p>
      <w:r>
        <w:rPr>
          <w:i/>
        </w:rPr>
        <w:t>Generated 2026-10-12; mode: deterministic. Section headings follow Gunnedah Shire Council's Statement of Environmental Effects form (last updated 15 August 2023) and the NSW Planning Portal 'Local development' requirement for an environmental assessment such as a statement of environmental effects. The content requirements in the Environmental Planning and Assessment Regulation 2021 could not be obtained (legislation.nsw.gov.au is blocked): TO BE COMPLETED: check the draft against the Regulation.</w:t>
      </w:r>
    </w:p>
    <w:p>
      <w:r>
        <w:br w:type="page"/>
      </w:r>
    </w:p>
    <w:p>
      <w:pPr>
        <w:pStyle w:val="Heading1"/>
      </w:pPr>
      <w:r>
        <w:t>1. Site and context</w:t>
      </w:r>
    </w:p>
    <w:p>
      <w:pPr>
        <w:pStyle w:val="ListBullet"/>
      </w:pPr>
      <w:r>
        <w:t xml:space="preserve">Site address: </w:t>
      </w:r>
      <w:r>
        <w:rPr>
          <w:b/>
          <w:color w:val="C00000"/>
        </w:rPr>
        <w:t>TO BE COMPLETED</w:t>
      </w:r>
      <w:r>
        <w:t xml:space="preserve"> (street address).</w:t>
      </w:r>
    </w:p>
    <w:p>
      <w:pPr>
        <w:pStyle w:val="ListBullet"/>
      </w:pPr>
      <w:r>
        <w:t>Lot and plan: 2//DP227508.</w:t>
      </w:r>
    </w:p>
    <w:p>
      <w:pPr>
        <w:pStyle w:val="ListBullet"/>
      </w:pPr>
      <w:r>
        <w:t>Local government area: Gunnedah.</w:t>
      </w:r>
    </w:p>
    <w:p>
      <w:pPr>
        <w:pStyle w:val="ListBullet"/>
      </w:pPr>
      <w:r>
        <w:t>Zone: R2 (from the lot data supplied).</w:t>
      </w:r>
    </w:p>
    <w:p>
      <w:pPr>
        <w:pStyle w:val="ListBullet"/>
      </w:pPr>
      <w:r>
        <w:t>Lot area: 955.827 square metres (calculated from the cadastre, not a survey).</w:t>
      </w:r>
    </w:p>
    <w:p>
      <w:pPr>
        <w:pStyle w:val="ListBullet"/>
      </w:pPr>
      <w:r>
        <w:t xml:space="preserve">Lot width at the building line: </w:t>
      </w:r>
      <w:r>
        <w:rPr>
          <w:b/>
          <w:color w:val="C00000"/>
        </w:rPr>
        <w:t>TO BE COMPLETED</w:t>
      </w:r>
      <w:r>
        <w:t xml:space="preserve"> (to be supplied by the author).</w:t>
      </w:r>
    </w:p>
    <w:p>
      <w:pPr>
        <w:pStyle w:val="ListBullet"/>
      </w:pPr>
      <w:r>
        <w:t xml:space="preserve">Topography (slope, vegetation, orientation, streetscape): </w:t>
      </w:r>
      <w:r>
        <w:rPr>
          <w:b/>
          <w:color w:val="C00000"/>
        </w:rPr>
        <w:t>TO BE COMPLETED</w:t>
      </w:r>
      <w:r>
        <w:t xml:space="preserve"> (to be supplied by the author).</w:t>
      </w:r>
    </w:p>
    <w:p>
      <w:pPr>
        <w:pStyle w:val="ListBullet"/>
      </w:pPr>
      <w:r>
        <w:t xml:space="preserve">Existing vegetation: </w:t>
      </w:r>
      <w:r>
        <w:rPr>
          <w:b/>
          <w:color w:val="C00000"/>
        </w:rPr>
        <w:t>TO BE COMPLETED</w:t>
      </w:r>
      <w:r>
        <w:t xml:space="preserve"> (to be supplied by the author).</w:t>
      </w:r>
    </w:p>
    <w:p>
      <w:pPr>
        <w:pStyle w:val="ListBullet"/>
      </w:pPr>
      <w:r>
        <w:t xml:space="preserve">Present use of the site: </w:t>
      </w:r>
      <w:r>
        <w:rPr>
          <w:b/>
          <w:color w:val="C00000"/>
        </w:rPr>
        <w:t>TO BE COMPLETED</w:t>
      </w:r>
      <w:r>
        <w:t xml:space="preserve"> (to be supplied by the author).</w:t>
      </w:r>
    </w:p>
    <w:p>
      <w:pPr>
        <w:pStyle w:val="ListBullet"/>
      </w:pPr>
      <w:r>
        <w:t xml:space="preserve">Previous uses of the site: </w:t>
      </w:r>
      <w:r>
        <w:rPr>
          <w:b/>
          <w:color w:val="C00000"/>
        </w:rPr>
        <w:t>TO BE COMPLETED</w:t>
      </w:r>
      <w:r>
        <w:t xml:space="preserve"> (to be supplied by the author).</w:t>
      </w:r>
    </w:p>
    <w:p>
      <w:pPr>
        <w:pStyle w:val="ListBullet"/>
      </w:pPr>
      <w:r>
        <w:t xml:space="preserve">Use of adjoining land: </w:t>
      </w:r>
      <w:r>
        <w:rPr>
          <w:b/>
          <w:color w:val="C00000"/>
        </w:rPr>
        <w:t>TO BE COMPLETED</w:t>
      </w:r>
      <w:r>
        <w:t xml:space="preserve"> (to be supplied by the author).</w:t>
      </w:r>
    </w:p>
    <w:p>
      <w:pPr>
        <w:pStyle w:val="ListBullet"/>
      </w:pPr>
      <w:r>
        <w:t xml:space="preserve">Potentially contaminating land uses (current or previous): </w:t>
      </w:r>
      <w:r>
        <w:rPr>
          <w:b/>
          <w:color w:val="C00000"/>
        </w:rPr>
        <w:t>TO BE COMPLETED</w:t>
      </w:r>
      <w:r>
        <w:t xml:space="preserve"> (answer the contamination questions on the Council form).</w:t>
      </w:r>
    </w:p>
    <w:p>
      <w:pPr>
        <w:pStyle w:val="ListBullet"/>
      </w:pPr>
      <w:r/>
      <w:r>
        <w:rPr>
          <w:b/>
          <w:color w:val="C00000"/>
        </w:rPr>
        <w:t>TO BE COMPLETED</w:t>
      </w:r>
      <w:r>
        <w:t>: Contaminated land: the constraints layer was not checked (obtain the planning certificate).</w:t>
      </w:r>
    </w:p>
    <w:p>
      <w:pPr>
        <w:pStyle w:val="Heading1"/>
      </w:pPr>
      <w:r>
        <w:t>2. Proposal description</w:t>
      </w:r>
    </w:p>
    <w:p>
      <w:pPr>
        <w:pStyle w:val="ListBullet"/>
      </w:pPr>
      <w:r>
        <w:t>The proposal is a dwelling house.</w:t>
      </w:r>
    </w:p>
    <w:p>
      <w:pPr>
        <w:pStyle w:val="ListBullet"/>
      </w:pPr>
      <w:r>
        <w:t xml:space="preserve">Description of the development: </w:t>
      </w:r>
      <w:r>
        <w:rPr>
          <w:b/>
          <w:color w:val="C00000"/>
        </w:rPr>
        <w:t>TO BE COMPLETED</w:t>
      </w:r>
      <w:r>
        <w:t xml:space="preserve"> (description of the development).</w:t>
      </w:r>
    </w:p>
    <w:p>
      <w:pPr>
        <w:pStyle w:val="ListBullet"/>
      </w:pPr>
      <w:r>
        <w:t xml:space="preserve">Estimated cost of the development: </w:t>
      </w:r>
      <w:r>
        <w:rPr>
          <w:b/>
          <w:color w:val="C00000"/>
        </w:rPr>
        <w:t>TO BE COMPLETED</w:t>
      </w:r>
      <w:r>
        <w:t xml:space="preserve"> (required in the DA (NSW Planning Portal)).</w:t>
      </w:r>
    </w:p>
    <w:p>
      <w:pPr>
        <w:pStyle w:val="ListBullet"/>
      </w:pPr>
      <w:r>
        <w:t xml:space="preserve">Storeys: </w:t>
      </w:r>
      <w:r>
        <w:rPr>
          <w:b/>
          <w:color w:val="C00000"/>
        </w:rPr>
        <w:t>TO BE COMPLETED</w:t>
      </w:r>
      <w:r>
        <w:t xml:space="preserve"> (to be supplied by the author).</w:t>
      </w:r>
    </w:p>
    <w:p>
      <w:pPr>
        <w:pStyle w:val="ListBullet"/>
      </w:pPr>
      <w:r>
        <w:t xml:space="preserve">Building height: </w:t>
      </w:r>
      <w:r>
        <w:rPr>
          <w:b/>
          <w:color w:val="C00000"/>
        </w:rPr>
        <w:t>TO BE COMPLETED</w:t>
      </w:r>
      <w:r>
        <w:t xml:space="preserve"> (to be supplied by the author).</w:t>
      </w:r>
    </w:p>
    <w:p>
      <w:pPr>
        <w:pStyle w:val="ListBullet"/>
      </w:pPr>
      <w:r>
        <w:t xml:space="preserve">Gross floor area: </w:t>
      </w:r>
      <w:r>
        <w:rPr>
          <w:b/>
          <w:color w:val="C00000"/>
        </w:rPr>
        <w:t>TO BE COMPLETED</w:t>
      </w:r>
      <w:r>
        <w:t xml:space="preserve"> (to be supplied by the author).</w:t>
      </w:r>
    </w:p>
    <w:p>
      <w:pPr>
        <w:pStyle w:val="ListBullet"/>
      </w:pPr>
      <w:r>
        <w:t xml:space="preserve">Setback to the front boundary: </w:t>
      </w:r>
      <w:r>
        <w:rPr>
          <w:b/>
          <w:color w:val="C00000"/>
        </w:rPr>
        <w:t>TO BE COMPLETED</w:t>
      </w:r>
      <w:r>
        <w:t xml:space="preserve"> (from the site plan).</w:t>
      </w:r>
    </w:p>
    <w:p>
      <w:pPr>
        <w:pStyle w:val="ListBullet"/>
      </w:pPr>
      <w:r>
        <w:t xml:space="preserve">Setback to the side boundary: </w:t>
      </w:r>
      <w:r>
        <w:rPr>
          <w:b/>
          <w:color w:val="C00000"/>
        </w:rPr>
        <w:t>TO BE COMPLETED</w:t>
      </w:r>
      <w:r>
        <w:t xml:space="preserve"> (from the site plan).</w:t>
      </w:r>
    </w:p>
    <w:p>
      <w:pPr>
        <w:pStyle w:val="ListBullet"/>
      </w:pPr>
      <w:r>
        <w:t xml:space="preserve">Setback to the rear boundary: </w:t>
      </w:r>
      <w:r>
        <w:rPr>
          <w:b/>
          <w:color w:val="C00000"/>
        </w:rPr>
        <w:t>TO BE COMPLETED</w:t>
      </w:r>
      <w:r>
        <w:t xml:space="preserve"> (from the site plan).</w:t>
      </w:r>
    </w:p>
    <w:p>
      <w:pPr>
        <w:pStyle w:val="ListBullet"/>
      </w:pPr>
      <w:r>
        <w:t xml:space="preserve">Car parking spaces: </w:t>
      </w:r>
      <w:r>
        <w:rPr>
          <w:b/>
          <w:color w:val="C00000"/>
        </w:rPr>
        <w:t>TO BE COMPLETED</w:t>
      </w:r>
      <w:r>
        <w:t xml:space="preserve"> (from the site plan).</w:t>
      </w:r>
    </w:p>
    <w:p>
      <w:pPr>
        <w:pStyle w:val="ListBullet"/>
      </w:pPr>
      <w:r>
        <w:t xml:space="preserve">External materials and finishes: </w:t>
      </w:r>
      <w:r>
        <w:rPr>
          <w:b/>
          <w:color w:val="C00000"/>
        </w:rPr>
        <w:t>TO BE COMPLETED</w:t>
      </w:r>
      <w:r>
        <w:t xml:space="preserve"> (Council requires samples of colours and materials).</w:t>
      </w:r>
    </w:p>
    <w:p>
      <w:pPr>
        <w:pStyle w:val="Heading1"/>
      </w:pPr>
      <w:r>
        <w:t>3. Zoning and permissibility</w:t>
      </w:r>
    </w:p>
    <w:p>
      <w:pPr>
        <w:pStyle w:val="ListBullet"/>
      </w:pPr>
      <w:r>
        <w:t>Zone: R2.</w:t>
      </w:r>
    </w:p>
    <w:p>
      <w:pPr>
        <w:pStyle w:val="ListBullet"/>
      </w:pPr>
      <w:r/>
      <w:r>
        <w:rPr>
          <w:b/>
          <w:color w:val="C00000"/>
        </w:rPr>
        <w:t>TO BE COMPLETED</w:t>
      </w:r>
      <w:r>
        <w:t>: permissibility of the development in the zone under the Local Environmental Plan land use table (the LEP was not obtained)</w:t>
      </w:r>
    </w:p>
    <w:p>
      <w:pPr>
        <w:pStyle w:val="ListBullet"/>
      </w:pPr>
      <w:r>
        <w:t>Approval pathway check, Development application (DA): Possible. Fallback: required if exempt and complying development turn out not to apply.</w:t>
      </w:r>
    </w:p>
    <w:p>
      <w:pPr>
        <w:pStyle w:val="ListBullet"/>
      </w:pPr>
      <w:r>
        <w:t>Approval pathway check, Complying development (CDC): Unresolved. Cannot be determined: 27 criteria are unresolved (missing data or documents not obtained).</w:t>
      </w:r>
    </w:p>
    <w:p>
      <w:pPr>
        <w:pStyle w:val="ListBullet"/>
      </w:pPr>
      <w:r>
        <w:t>Approval pathway check, Exempt development: Not applicable. Exempt development does not cover a new dwelling (inferred from the Portal's exempt list; verify).</w:t>
      </w:r>
    </w:p>
    <w:p>
      <w:pPr>
        <w:pStyle w:val="ListBullet"/>
      </w:pPr>
      <w:r>
        <w:t>May apply: verify with council or a certifier. This is decision support, not an approval.</w:t>
      </w:r>
    </w:p>
    <w:p>
      <w:pPr>
        <w:pStyle w:val="ListBullet"/>
      </w:pPr>
      <w:r/>
      <w:r>
        <w:rPr>
          <w:b/>
          <w:color w:val="C00000"/>
        </w:rPr>
        <w:t>TO BE COMPLETED</w:t>
      </w:r>
      <w:r>
        <w:t>: compatibility with the zone objectives and with adjoining development (LEP zone objectives not obtained)</w:t>
      </w:r>
    </w:p>
    <w:p>
      <w:pPr>
        <w:pStyle w:val="Heading1"/>
      </w:pPr>
      <w:r>
        <w:t>4. Relevant planning controls and compliance summary</w:t>
      </w:r>
    </w:p>
    <w:p>
      <w:pPr>
        <w:pStyle w:val="ListBullet"/>
      </w:pPr>
      <w:r>
        <w:t>Compliance summary for the DA pathway: 0 controls pass, 0 fail, 14 are unresolved and 1 are not applicable.</w:t>
      </w:r>
    </w:p>
    <w:p>
      <w:pPr>
        <w:pStyle w:val="ListBullet"/>
      </w:pPr>
      <w:r/>
      <w:r>
        <w:rPr>
          <w:b/>
          <w:color w:val="C00000"/>
        </w:rPr>
        <w:t>TO BE COMPLETED</w:t>
      </w:r>
      <w:r>
        <w:t>: Setback: front (primary frontage): Supply the proposed value (Setback: front (primary frontage)) from the layout/design.</w:t>
      </w:r>
    </w:p>
    <w:p>
      <w:pPr>
        <w:pStyle w:val="ListBullet"/>
      </w:pPr>
      <w:r/>
      <w:r>
        <w:rPr>
          <w:b/>
          <w:color w:val="C00000"/>
        </w:rPr>
        <w:t>TO BE COMPLETED</w:t>
      </w:r>
      <w:r>
        <w:t>: Setback: side: Supply the proposed value (Setback: side) from the layout/design.</w:t>
      </w:r>
    </w:p>
    <w:p>
      <w:pPr>
        <w:pStyle w:val="ListBullet"/>
      </w:pPr>
      <w:r/>
      <w:r>
        <w:rPr>
          <w:b/>
          <w:color w:val="C00000"/>
        </w:rPr>
        <w:t>TO BE COMPLETED</w:t>
      </w:r>
      <w:r>
        <w:t>: Setback: rear: Supply the proposed value (Setback: rear) from the layout/design.</w:t>
      </w:r>
    </w:p>
    <w:p>
      <w:pPr>
        <w:pStyle w:val="ListBullet"/>
      </w:pPr>
      <w:r/>
      <w:r>
        <w:rPr>
          <w:b/>
          <w:color w:val="C00000"/>
        </w:rPr>
        <w:t>TO BE COMPLETED</w:t>
      </w:r>
      <w:r>
        <w:t>: Building height: LEP cl 4.3 / Height of Buildings Map not obtained. DCP 2025 only caps outbuildings (4.8 m in R2) and farm buildings on sites &lt; 10 ha (7 m).</w:t>
      </w:r>
    </w:p>
    <w:p>
      <w:pPr>
        <w:pStyle w:val="ListBullet"/>
      </w:pPr>
      <w:r/>
      <w:r>
        <w:rPr>
          <w:b/>
          <w:color w:val="C00000"/>
        </w:rPr>
        <w:t>TO BE COMPLETED</w:t>
      </w:r>
      <w:r>
        <w:t>: Floor space ratio: Supply gross floor area (LEP definition) for the proposal.</w:t>
      </w:r>
    </w:p>
    <w:p>
      <w:pPr>
        <w:pStyle w:val="ListBullet"/>
      </w:pPr>
      <w:r/>
      <w:r>
        <w:rPr>
          <w:b/>
          <w:color w:val="C00000"/>
        </w:rPr>
        <w:t>TO BE COMPLETED</w:t>
      </w:r>
      <w:r>
        <w:t>: Site coverage: DCP 2025 contains no site coverage, landscaped-area or FSR control for dwelling houses or secondary dwellings (text searched for 'site cover', 'coverage', 'landscaped area', 'floor space').</w:t>
      </w:r>
    </w:p>
    <w:p>
      <w:pPr>
        <w:pStyle w:val="ListBullet"/>
      </w:pPr>
      <w:r/>
      <w:r>
        <w:rPr>
          <w:b/>
          <w:color w:val="C00000"/>
        </w:rPr>
        <w:t>TO BE COMPLETED</w:t>
      </w:r>
      <w:r>
        <w:t>: Landscaped area: DCP 2025 contains no site coverage, landscaped-area or FSR control for dwelling houses or secondary dwellings (text searched for 'site cover', 'coverage', 'landscaped area', 'floor space').</w:t>
      </w:r>
    </w:p>
    <w:p>
      <w:pPr>
        <w:pStyle w:val="ListBullet"/>
      </w:pPr>
      <w:r/>
      <w:r>
        <w:rPr>
          <w:b/>
          <w:color w:val="C00000"/>
        </w:rPr>
        <w:t>TO BE COMPLETED</w:t>
      </w:r>
      <w:r>
        <w:t>: Car parking: Supply the proposed value (Car parking) from the layout/design.</w:t>
      </w:r>
    </w:p>
    <w:p>
      <w:pPr>
        <w:pStyle w:val="ListBullet"/>
      </w:pPr>
      <w:r/>
      <w:r>
        <w:rPr>
          <w:b/>
          <w:color w:val="C00000"/>
        </w:rPr>
        <w:t>TO BE COMPLETED</w:t>
      </w:r>
      <w:r>
        <w:t>: Driveway / crossover width: Supply the crossover width (SA3 DrivewayDesign).</w:t>
      </w:r>
    </w:p>
    <w:p>
      <w:pPr>
        <w:pStyle w:val="ListBullet"/>
      </w:pPr>
      <w:r/>
      <w:r>
        <w:rPr>
          <w:b/>
          <w:color w:val="C00000"/>
        </w:rPr>
        <w:t>TO BE COMPLETED</w:t>
      </w:r>
      <w:r>
        <w:t>: Crossover separation from corner/intersection: Supply the proposed value (Crossover separation from corner/intersection) from the layout/design.</w:t>
      </w:r>
    </w:p>
    <w:p>
      <w:pPr>
        <w:pStyle w:val="ListBullet"/>
      </w:pPr>
      <w:r/>
      <w:r>
        <w:rPr>
          <w:b/>
          <w:color w:val="C00000"/>
        </w:rPr>
        <w:t>TO BE COMPLETED</w:t>
      </w:r>
      <w:r>
        <w:t>: Driveway maximum grade: Engineering Design Minimum Standards give crossing width/spacing (residential allotments), culvert and gate rules but no driveway grade limits, and no width figure for rural accesses. Council standard drawings (RD0010, RD011, RD012) and AS 2890.1 were not obtained.</w:t>
      </w:r>
    </w:p>
    <w:p>
      <w:pPr>
        <w:pStyle w:val="ListBullet"/>
      </w:pPr>
      <w:r/>
      <w:r>
        <w:rPr>
          <w:b/>
          <w:color w:val="C00000"/>
        </w:rPr>
        <w:t>TO BE COMPLETED</w:t>
      </w:r>
      <w:r>
        <w:t>: Stormwater / on-site detention: Provide a stormwater concept/design plan for assessment against the Engineering Standards (no numeric comparison possible here).</w:t>
      </w:r>
    </w:p>
    <w:p>
      <w:pPr>
        <w:pStyle w:val="ListBullet"/>
      </w:pPr>
      <w:r/>
      <w:r>
        <w:rPr>
          <w:b/>
          <w:color w:val="C00000"/>
        </w:rPr>
        <w:t>TO BE COMPLETED</w:t>
      </w:r>
      <w:r>
        <w:t>: Bushfire: Commission a BAL assessment by an accredited practitioner and obtain the s10.7 certificate; confirm whether a bush fire safety authority / RFS referral is needed.</w:t>
      </w:r>
    </w:p>
    <w:p>
      <w:pPr>
        <w:pStyle w:val="ListBullet"/>
      </w:pPr>
      <w:r/>
      <w:r>
        <w:rPr>
          <w:b/>
          <w:color w:val="C00000"/>
        </w:rPr>
        <w:t>TO BE COMPLETED</w:t>
      </w:r>
      <w:r>
        <w:t>: BASIX certificate: Obtain a BASIX certificate (basix.nsw.gov.au) and supply its number.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Control</w:t>
            </w:r>
          </w:p>
        </w:tc>
        <w:tc>
          <w:tcPr>
            <w:tcW w:type="dxa" w:w="2160"/>
          </w:tcPr>
          <w:p>
            <w:r>
              <w:rPr>
                <w:b/>
              </w:rPr>
              <w:t>Requirement and source</w:t>
            </w:r>
          </w:p>
        </w:tc>
        <w:tc>
          <w:tcPr>
            <w:tcW w:type="dxa" w:w="2160"/>
          </w:tcPr>
          <w:p>
            <w:r>
              <w:rPr>
                <w:b/>
              </w:rPr>
              <w:t>Proposed</w:t>
            </w:r>
          </w:p>
        </w:tc>
        <w:tc>
          <w:tcPr>
            <w:tcW w:type="dxa" w:w="2160"/>
          </w:tcPr>
          <w:p>
            <w:r>
              <w:rPr>
                <w:b/>
              </w:rPr>
              <w:t>Status</w:t>
            </w:r>
          </w:p>
        </w:tc>
      </w:tr>
      <w:tr>
        <w:tc>
          <w:tcPr>
            <w:tcW w:type="dxa" w:w="2160"/>
          </w:tcPr>
          <w:p>
            <w:r>
              <w:t>Setback: front (primary frontage)</w:t>
            </w:r>
          </w:p>
        </w:tc>
        <w:tc>
          <w:tcPr>
            <w:tcW w:type="dxa" w:w="2160"/>
          </w:tcPr>
          <w:p>
            <w:r>
              <w:t>at least 6.5 m (R2 dwellings: or the average of the adjoining dwellings whichever is less) [Gunnedah Shire Council Development Control Plan 2025, p.37: "Primary Frontage 6.5m or the average of the adjoining dwellings whichever is less"]</w:t>
            </w:r>
          </w:p>
        </w:tc>
        <w:tc>
          <w:tcPr>
            <w:tcW w:type="dxa" w:w="2160"/>
          </w:tcPr>
          <w:p>
            <w:r/>
          </w:p>
        </w:tc>
        <w:tc>
          <w:tcPr>
            <w:tcW w:type="dxa" w:w="2160"/>
          </w:tcPr>
          <w:p>
            <w:r>
              <w:t>UNRESOLVED</w:t>
            </w:r>
          </w:p>
        </w:tc>
      </w:tr>
      <w:tr>
        <w:tc>
          <w:tcPr>
            <w:tcW w:type="dxa" w:w="2160"/>
          </w:tcPr>
          <w:p>
            <w:r>
              <w:t>Setback: side</w:t>
            </w:r>
          </w:p>
        </w:tc>
        <w:tc>
          <w:tcPr>
            <w:tcW w:type="dxa" w:w="2160"/>
          </w:tcPr>
          <w:p>
            <w:r>
              <w:t>at least 0.9 m (0.9 m or compliance with the BCA) [Gunnedah Shire Council Development Control Plan 2025, p.37: "Side and rear 0.9m or compliance with the BCA^"]</w:t>
            </w:r>
          </w:p>
        </w:tc>
        <w:tc>
          <w:tcPr>
            <w:tcW w:type="dxa" w:w="2160"/>
          </w:tcPr>
          <w:p>
            <w:r/>
          </w:p>
        </w:tc>
        <w:tc>
          <w:tcPr>
            <w:tcW w:type="dxa" w:w="2160"/>
          </w:tcPr>
          <w:p>
            <w:r>
              <w:t>UNRESOLVED</w:t>
            </w:r>
          </w:p>
        </w:tc>
      </w:tr>
      <w:tr>
        <w:tc>
          <w:tcPr>
            <w:tcW w:type="dxa" w:w="2160"/>
          </w:tcPr>
          <w:p>
            <w:r>
              <w:t>Setback: rear</w:t>
            </w:r>
          </w:p>
        </w:tc>
        <w:tc>
          <w:tcPr>
            <w:tcW w:type="dxa" w:w="2160"/>
          </w:tcPr>
          <w:p>
            <w:r>
              <w:t>at least 0.9 m [Gunnedah Shire Council Development Control Plan 2025, p.37: "Side and rear 0.9m or compliance with the BCA^"]</w:t>
            </w:r>
          </w:p>
        </w:tc>
        <w:tc>
          <w:tcPr>
            <w:tcW w:type="dxa" w:w="2160"/>
          </w:tcPr>
          <w:p>
            <w:r/>
          </w:p>
        </w:tc>
        <w:tc>
          <w:tcPr>
            <w:tcW w:type="dxa" w:w="2160"/>
          </w:tcPr>
          <w:p>
            <w:r>
              <w:t>UNRESOLVED</w:t>
            </w:r>
          </w:p>
        </w:tc>
      </w:tr>
      <w:tr>
        <w:tc>
          <w:tcPr>
            <w:tcW w:type="dxa" w:w="2160"/>
          </w:tcPr>
          <w:p>
            <w:r>
              <w:t>Building height</w:t>
            </w:r>
          </w:p>
        </w:tc>
        <w:tc>
          <w:tcPr>
            <w:tcW w:type="dxa" w:w="2160"/>
          </w:tcPr>
          <w:p>
            <w:r>
              <w:t>LEP cl 4.3 / Height of Buildings Map: not obtained</w:t>
            </w:r>
          </w:p>
        </w:tc>
        <w:tc>
          <w:tcPr>
            <w:tcW w:type="dxa" w:w="2160"/>
          </w:tcPr>
          <w:p>
            <w:r/>
          </w:p>
        </w:tc>
        <w:tc>
          <w:tcPr>
            <w:tcW w:type="dxa" w:w="2160"/>
          </w:tcPr>
          <w:p>
            <w:r>
              <w:t>UNRESOLVED</w:t>
            </w:r>
          </w:p>
        </w:tc>
      </w:tr>
      <w:tr>
        <w:tc>
          <w:tcPr>
            <w:tcW w:type="dxa" w:w="2160"/>
          </w:tcPr>
          <w:p>
            <w:r>
              <w:t>Floor space ratio</w:t>
            </w:r>
          </w:p>
        </w:tc>
        <w:tc>
          <w:tcPr>
            <w:tcW w:type="dxa" w:w="2160"/>
          </w:tcPr>
          <w:p>
            <w:r>
              <w:t>at most 0.5:1 (LEP FSR map layer) [LEP Floor Space Ratio Map (NSW ePlanning EPI_Primary_Planning_Layers, via SA9), p.1: "{"EPI_NAME": "Gunnedah Local Environmental Plan 2012", "FSR": 0.5, "LAY_CLASS": "0.5-0.54"}"]</w:t>
            </w:r>
          </w:p>
        </w:tc>
        <w:tc>
          <w:tcPr>
            <w:tcW w:type="dxa" w:w="2160"/>
          </w:tcPr>
          <w:p>
            <w:r/>
          </w:p>
        </w:tc>
        <w:tc>
          <w:tcPr>
            <w:tcW w:type="dxa" w:w="2160"/>
          </w:tcPr>
          <w:p>
            <w:r>
              <w:t>UNRESOLVED</w:t>
            </w:r>
          </w:p>
        </w:tc>
      </w:tr>
      <w:tr>
        <w:tc>
          <w:tcPr>
            <w:tcW w:type="dxa" w:w="2160"/>
          </w:tcPr>
          <w:p>
            <w:r>
              <w:t>Site coverage</w:t>
            </w:r>
          </w:p>
        </w:tc>
        <w:tc>
          <w:tcPr>
            <w:tcW w:type="dxa" w:w="2160"/>
          </w:tcPr>
          <w:p>
            <w:r>
              <w:t>no site coverage control in the DCP obtained</w:t>
            </w:r>
          </w:p>
        </w:tc>
        <w:tc>
          <w:tcPr>
            <w:tcW w:type="dxa" w:w="2160"/>
          </w:tcPr>
          <w:p>
            <w:r/>
          </w:p>
        </w:tc>
        <w:tc>
          <w:tcPr>
            <w:tcW w:type="dxa" w:w="2160"/>
          </w:tcPr>
          <w:p>
            <w:r>
              <w:t>UNRESOLVED</w:t>
            </w:r>
          </w:p>
        </w:tc>
      </w:tr>
      <w:tr>
        <w:tc>
          <w:tcPr>
            <w:tcW w:type="dxa" w:w="2160"/>
          </w:tcPr>
          <w:p>
            <w:r>
              <w:t>Landscaped area</w:t>
            </w:r>
          </w:p>
        </w:tc>
        <w:tc>
          <w:tcPr>
            <w:tcW w:type="dxa" w:w="2160"/>
          </w:tcPr>
          <w:p>
            <w:r>
              <w:t>no landscaped area control in the DCP obtained</w:t>
            </w:r>
          </w:p>
        </w:tc>
        <w:tc>
          <w:tcPr>
            <w:tcW w:type="dxa" w:w="2160"/>
          </w:tcPr>
          <w:p>
            <w:r/>
          </w:p>
        </w:tc>
        <w:tc>
          <w:tcPr>
            <w:tcW w:type="dxa" w:w="2160"/>
          </w:tcPr>
          <w:p>
            <w:r>
              <w:t>UNRESOLVED</w:t>
            </w:r>
          </w:p>
        </w:tc>
      </w:tr>
      <w:tr>
        <w:tc>
          <w:tcPr>
            <w:tcW w:type="dxa" w:w="2160"/>
          </w:tcPr>
          <w:p>
            <w:r>
              <w:t>Car parking</w:t>
            </w:r>
          </w:p>
        </w:tc>
        <w:tc>
          <w:tcPr>
            <w:tcW w:type="dxa" w:w="2160"/>
          </w:tcPr>
          <w:p>
            <w:r>
              <w:t>at least 2 spaces [Gunnedah Shire Council Development Control Plan 2025, p.16: "Dwelling House 2 spaces per dwelling"]</w:t>
            </w:r>
          </w:p>
        </w:tc>
        <w:tc>
          <w:tcPr>
            <w:tcW w:type="dxa" w:w="2160"/>
          </w:tcPr>
          <w:p>
            <w:r/>
          </w:p>
        </w:tc>
        <w:tc>
          <w:tcPr>
            <w:tcW w:type="dxa" w:w="2160"/>
          </w:tcPr>
          <w:p>
            <w:r>
              <w:t>UNRESOLVED</w:t>
            </w:r>
          </w:p>
        </w:tc>
      </w:tr>
      <w:tr>
        <w:tc>
          <w:tcPr>
            <w:tcW w:type="dxa" w:w="2160"/>
          </w:tcPr>
          <w:p>
            <w:r>
              <w:t>Driveway / crossover width</w:t>
            </w:r>
          </w:p>
        </w:tc>
        <w:tc>
          <w:tcPr>
            <w:tcW w:type="dxa" w:w="2160"/>
          </w:tcPr>
          <w:p>
            <w:r>
              <w:t>between 3 m and 4.5 m [Gunnedah Shire Council Engineering Design Minimum Standards for Subdivisions and Developments, p.44: "Width of access (excluding layback splays) 3.0 - 4.5m"]</w:t>
            </w:r>
          </w:p>
        </w:tc>
        <w:tc>
          <w:tcPr>
            <w:tcW w:type="dxa" w:w="2160"/>
          </w:tcPr>
          <w:p>
            <w:r/>
          </w:p>
        </w:tc>
        <w:tc>
          <w:tcPr>
            <w:tcW w:type="dxa" w:w="2160"/>
          </w:tcPr>
          <w:p>
            <w:r>
              <w:t>UNRESOLVED</w:t>
            </w:r>
          </w:p>
        </w:tc>
      </w:tr>
      <w:tr>
        <w:tc>
          <w:tcPr>
            <w:tcW w:type="dxa" w:w="2160"/>
          </w:tcPr>
          <w:p>
            <w:r>
              <w:t>Crossover separation from corner/intersection</w:t>
            </w:r>
          </w:p>
        </w:tc>
        <w:tc>
          <w:tcPr>
            <w:tcW w:type="dxa" w:w="2160"/>
          </w:tcPr>
          <w:p>
            <w:r>
              <w:t>at least 6 m [Gunnedah Shire Council Engineering Design Minimum Standards for Subdivisions and Developments, p.44: "Minimum distance from crossing to corner allotment boundary 6m"]</w:t>
            </w:r>
          </w:p>
        </w:tc>
        <w:tc>
          <w:tcPr>
            <w:tcW w:type="dxa" w:w="2160"/>
          </w:tcPr>
          <w:p>
            <w:r/>
          </w:p>
        </w:tc>
        <w:tc>
          <w:tcPr>
            <w:tcW w:type="dxa" w:w="2160"/>
          </w:tcPr>
          <w:p>
            <w:r>
              <w:t>UNRESOLVED</w:t>
            </w:r>
          </w:p>
        </w:tc>
      </w:tr>
      <w:tr>
        <w:tc>
          <w:tcPr>
            <w:tcW w:type="dxa" w:w="2160"/>
          </w:tcPr>
          <w:p>
            <w:r>
              <w:t>Driveway maximum grade</w:t>
            </w:r>
          </w:p>
        </w:tc>
        <w:tc>
          <w:tcPr>
            <w:tcW w:type="dxa" w:w="2160"/>
          </w:tcPr>
          <w:p>
            <w:r>
              <w:t>not found in the obtained documents</w:t>
            </w:r>
          </w:p>
        </w:tc>
        <w:tc>
          <w:tcPr>
            <w:tcW w:type="dxa" w:w="2160"/>
          </w:tcPr>
          <w:p>
            <w:r/>
          </w:p>
        </w:tc>
        <w:tc>
          <w:tcPr>
            <w:tcW w:type="dxa" w:w="2160"/>
          </w:tcPr>
          <w:p>
            <w:r>
              <w:t>UNRESOLVED</w:t>
            </w:r>
          </w:p>
        </w:tc>
      </w:tr>
      <w:tr>
        <w:tc>
          <w:tcPr>
            <w:tcW w:type="dxa" w:w="2160"/>
          </w:tcPr>
          <w:p>
            <w:r>
              <w:t>Stormwater / on-site detention</w:t>
            </w:r>
          </w:p>
        </w:tc>
        <w:tc>
          <w:tcPr>
            <w:tcW w:type="dxa" w:w="2160"/>
          </w:tcPr>
          <w:p>
            <w:r>
              <w:t>stormwater designed per the council Engineering Design Minimum Standards; OSD where post-development flow exceeds existing [Gunnedah Shire Council Development Control Plan 2025, p.43: "All stormwater systems shall be designed and constructed in accordance with Council’s Engineering Design Minim"]</w:t>
            </w:r>
          </w:p>
        </w:tc>
        <w:tc>
          <w:tcPr>
            <w:tcW w:type="dxa" w:w="2160"/>
          </w:tcPr>
          <w:p>
            <w:r/>
          </w:p>
        </w:tc>
        <w:tc>
          <w:tcPr>
            <w:tcW w:type="dxa" w:w="2160"/>
          </w:tcPr>
          <w:p>
            <w:r>
              <w:t>UNRESOLVED</w:t>
            </w:r>
          </w:p>
        </w:tc>
      </w:tr>
      <w:tr>
        <w:tc>
          <w:tcPr>
            <w:tcW w:type="dxa" w:w="2160"/>
          </w:tcPr>
          <w:p>
            <w:r>
              <w:t>Flood: habitable floor level</w:t>
            </w:r>
          </w:p>
        </w:tc>
        <w:tc>
          <w:tcPr>
            <w:tcW w:type="dxa" w:w="2160"/>
          </w:tcPr>
          <w:p>
            <w:r>
              <w:t>not applicable: SA9 flood layer reports the lot not affected (map layer only)</w:t>
            </w:r>
          </w:p>
        </w:tc>
        <w:tc>
          <w:tcPr>
            <w:tcW w:type="dxa" w:w="2160"/>
          </w:tcPr>
          <w:p>
            <w:r/>
          </w:p>
        </w:tc>
        <w:tc>
          <w:tcPr>
            <w:tcW w:type="dxa" w:w="2160"/>
          </w:tcPr>
          <w:p>
            <w:r>
              <w:t>NOT APPLICABLE</w:t>
            </w:r>
          </w:p>
        </w:tc>
      </w:tr>
      <w:tr>
        <w:tc>
          <w:tcPr>
            <w:tcW w:type="dxa" w:w="2160"/>
          </w:tcPr>
          <w:p>
            <w:r>
              <w:t>Bushfire</w:t>
            </w:r>
          </w:p>
        </w:tc>
        <w:tc>
          <w:tcPr>
            <w:tcW w:type="dxa" w:w="2160"/>
          </w:tcPr>
          <w:p>
            <w:r>
              <w:t>BAL assessment (AS 3959) and Planning for Bush Fire Protection: documents not obtained, no citable numeric requirement</w:t>
            </w:r>
          </w:p>
        </w:tc>
        <w:tc>
          <w:tcPr>
            <w:tcW w:type="dxa" w:w="2160"/>
          </w:tcPr>
          <w:p>
            <w:r>
              <w:t>bushfire prone land (vegetation category / buffer)</w:t>
            </w:r>
          </w:p>
        </w:tc>
        <w:tc>
          <w:tcPr>
            <w:tcW w:type="dxa" w:w="2160"/>
          </w:tcPr>
          <w:p>
            <w:r>
              <w:t>UNRESOLVED</w:t>
            </w:r>
          </w:p>
        </w:tc>
      </w:tr>
      <w:tr>
        <w:tc>
          <w:tcPr>
            <w:tcW w:type="dxa" w:w="2160"/>
          </w:tcPr>
          <w:p>
            <w:r>
              <w:t>BASIX certificate</w:t>
            </w:r>
          </w:p>
        </w:tc>
        <w:tc>
          <w:tcPr>
            <w:tcW w:type="dxa" w:w="2160"/>
          </w:tcPr>
          <w:p>
            <w:r>
              <w:t>BASIX certificate required for a new dwelling [NSW Planning Portal: BASIX, p.1: "you will need a BASIX certificate."]</w:t>
            </w:r>
          </w:p>
        </w:tc>
        <w:tc>
          <w:tcPr>
            <w:tcW w:type="dxa" w:w="2160"/>
          </w:tcPr>
          <w:p>
            <w:r>
              <w:t>TO BE OBTAINED</w:t>
            </w:r>
          </w:p>
        </w:tc>
        <w:tc>
          <w:tcPr>
            <w:tcW w:type="dxa" w:w="2160"/>
          </w:tcPr>
          <w:p>
            <w:r>
              <w:t>UNRESOLVED</w:t>
            </w:r>
          </w:p>
        </w:tc>
      </w:tr>
    </w:tbl>
    <w:p>
      <w:pPr>
        <w:pStyle w:val="Heading1"/>
      </w:pPr>
      <w:r>
        <w:t>5. Environmental impacts</w:t>
      </w:r>
    </w:p>
    <w:p>
      <w:pPr>
        <w:pStyle w:val="Heading2"/>
      </w:pPr>
      <w:r>
        <w:t>Flood</w:t>
      </w:r>
    </w:p>
    <w:p>
      <w:pPr>
        <w:pStyle w:val="ListBullet"/>
      </w:pPr>
      <w:r>
        <w:t>Flood planning area: the NSW mapping layer reports the lot as not affected. This is a map layer result, not a planning certificate.</w:t>
      </w:r>
    </w:p>
    <w:p>
      <w:pPr>
        <w:pStyle w:val="Heading2"/>
      </w:pPr>
      <w:r>
        <w:t>Bushfire</w:t>
      </w:r>
    </w:p>
    <w:p>
      <w:pPr>
        <w:pStyle w:val="ListBullet"/>
      </w:pPr>
      <w:r>
        <w:t>Bushfire prone land: the NSW mapping layer reports the lot as affected (Category=3, d_Category=Vegetation Category 3; Category=0, d_Category=Vegetation Buffer). Data currency: source currency 2026-10-03; fetched 2026-10-12; The NSW BFPL Map is collated and merged together from individual NSW loc.</w:t>
      </w:r>
    </w:p>
    <w:p>
      <w:pPr>
        <w:pStyle w:val="ListBullet"/>
      </w:pPr>
      <w:r>
        <w:t xml:space="preserve">Bushfire attack level: </w:t>
      </w:r>
      <w:r>
        <w:rPr>
          <w:b/>
          <w:color w:val="C00000"/>
        </w:rPr>
        <w:t>TO BE COMPLETED</w:t>
      </w:r>
      <w:r>
        <w:t xml:space="preserve"> (BAL assessment by an accredited practitioner (AS 3959)).</w:t>
      </w:r>
    </w:p>
    <w:p>
      <w:pPr>
        <w:pStyle w:val="Heading2"/>
      </w:pPr>
      <w:r>
        <w:t>Heritage</w:t>
      </w:r>
    </w:p>
    <w:p>
      <w:pPr>
        <w:pStyle w:val="ListBullet"/>
      </w:pPr>
      <w:r>
        <w:t>Heritage item: the NSW mapping layer reports the lot as not affected. This is a map layer result, not a planning certificate.</w:t>
      </w:r>
    </w:p>
    <w:p>
      <w:pPr>
        <w:pStyle w:val="ListBullet"/>
      </w:pPr>
      <w:r>
        <w:t>Heritage conservation area: the NSW mapping layer reports the lot as not affected. This is a map layer result, not a planning certificate.</w:t>
      </w:r>
    </w:p>
    <w:p>
      <w:pPr>
        <w:pStyle w:val="Heading2"/>
      </w:pPr>
      <w:r>
        <w:t>Amenity (overshadowing, privacy, views)</w:t>
      </w:r>
    </w:p>
    <w:p>
      <w:pPr>
        <w:pStyle w:val="ListBullet"/>
      </w:pPr>
      <w:r>
        <w:t xml:space="preserve">Effect on amenity of surrounding residences: </w:t>
      </w:r>
      <w:r>
        <w:rPr>
          <w:b/>
          <w:color w:val="C00000"/>
        </w:rPr>
        <w:t>TO BE COMPLETED</w:t>
      </w:r>
      <w:r>
        <w:t xml:space="preserve"> (overshadowing (9 am and 3 pm, 21 June, two-storey only) and privacy).</w:t>
      </w:r>
    </w:p>
    <w:p>
      <w:pPr>
        <w:pStyle w:val="Heading2"/>
      </w:pPr>
      <w:r>
        <w:t>Access and parking</w:t>
      </w:r>
    </w:p>
    <w:p>
      <w:pPr>
        <w:pStyle w:val="ListBullet"/>
      </w:pPr>
      <w:r>
        <w:t xml:space="preserve">Road the site is accessed from: </w:t>
      </w:r>
      <w:r>
        <w:rPr>
          <w:b/>
          <w:color w:val="C00000"/>
        </w:rPr>
        <w:t>TO BE COMPLETED</w:t>
      </w:r>
      <w:r>
        <w:t xml:space="preserve"> (to be supplied by the author).</w:t>
      </w:r>
    </w:p>
    <w:p>
      <w:pPr>
        <w:pStyle w:val="ListBullet"/>
      </w:pPr>
      <w:r>
        <w:t xml:space="preserve">Crossover width: </w:t>
      </w:r>
      <w:r>
        <w:rPr>
          <w:b/>
          <w:color w:val="C00000"/>
        </w:rPr>
        <w:t>TO BE COMPLETED</w:t>
      </w:r>
      <w:r>
        <w:t xml:space="preserve"> (to be supplied by the author).</w:t>
      </w:r>
    </w:p>
    <w:p>
      <w:pPr>
        <w:pStyle w:val="ListBullet"/>
      </w:pPr>
      <w:r>
        <w:t xml:space="preserve">Car parking spaces: </w:t>
      </w:r>
      <w:r>
        <w:rPr>
          <w:b/>
          <w:color w:val="C00000"/>
        </w:rPr>
        <w:t>TO BE COMPLETED</w:t>
      </w:r>
      <w:r>
        <w:t xml:space="preserve"> (to be supplied by the author).</w:t>
      </w:r>
    </w:p>
    <w:p>
      <w:pPr>
        <w:pStyle w:val="Heading2"/>
      </w:pPr>
      <w:r>
        <w:t>Stormwater</w:t>
      </w:r>
    </w:p>
    <w:p>
      <w:pPr>
        <w:pStyle w:val="ListBullet"/>
      </w:pPr>
      <w:r>
        <w:t xml:space="preserve">Stormwater disposal: </w:t>
      </w:r>
      <w:r>
        <w:rPr>
          <w:b/>
          <w:color w:val="C00000"/>
        </w:rPr>
        <w:t>TO BE COMPLETED</w:t>
      </w:r>
      <w:r>
        <w:t xml:space="preserve"> (street, on-site retention or detention, per the Engineering Design Minimum Standards).</w:t>
      </w:r>
    </w:p>
    <w:p>
      <w:pPr>
        <w:pStyle w:val="Heading2"/>
      </w:pPr>
      <w:r>
        <w:t>Erosion and sediment control</w:t>
      </w:r>
    </w:p>
    <w:p>
      <w:pPr>
        <w:pStyle w:val="ListBullet"/>
      </w:pPr>
      <w:r/>
      <w:r>
        <w:rPr>
          <w:b/>
          <w:color w:val="C00000"/>
        </w:rPr>
        <w:t>TO BE COMPLETED</w:t>
      </w:r>
      <w:r>
        <w:t>: erosion and sediment control plan (Council's Fact Sheet 1 lists it as required for construction works to minimise harm to the environment)</w:t>
      </w:r>
    </w:p>
    <w:p>
      <w:pPr>
        <w:pStyle w:val="Heading2"/>
      </w:pPr>
      <w:r>
        <w:t>Services and waste</w:t>
      </w:r>
    </w:p>
    <w:p>
      <w:pPr>
        <w:pStyle w:val="ListBullet"/>
      </w:pPr>
      <w:r>
        <w:t xml:space="preserve">Electricity supply: </w:t>
      </w:r>
      <w:r>
        <w:rPr>
          <w:b/>
          <w:color w:val="C00000"/>
        </w:rPr>
        <w:t>TO BE COMPLETED</w:t>
      </w:r>
      <w:r>
        <w:t xml:space="preserve"> (to be supplied by the author).</w:t>
      </w:r>
    </w:p>
    <w:p>
      <w:pPr>
        <w:pStyle w:val="ListBullet"/>
      </w:pPr>
      <w:r>
        <w:t xml:space="preserve">Water supply (town supply, rainwater tank, bore): </w:t>
      </w:r>
      <w:r>
        <w:rPr>
          <w:b/>
          <w:color w:val="C00000"/>
        </w:rPr>
        <w:t>TO BE COMPLETED</w:t>
      </w:r>
      <w:r>
        <w:t xml:space="preserve"> (to be supplied by the author).</w:t>
      </w:r>
    </w:p>
    <w:p>
      <w:pPr>
        <w:pStyle w:val="ListBullet"/>
      </w:pPr>
      <w:r>
        <w:t xml:space="preserve">Effluent disposal (sewer or on-site): </w:t>
      </w:r>
      <w:r>
        <w:rPr>
          <w:b/>
          <w:color w:val="C00000"/>
        </w:rPr>
        <w:t>TO BE COMPLETED</w:t>
      </w:r>
      <w:r>
        <w:t xml:space="preserve"> (to be supplied by the author).</w:t>
      </w:r>
    </w:p>
    <w:p>
      <w:pPr>
        <w:pStyle w:val="ListBullet"/>
      </w:pPr>
      <w:r>
        <w:t xml:space="preserve">Waste management: </w:t>
      </w:r>
      <w:r>
        <w:rPr>
          <w:b/>
          <w:color w:val="C00000"/>
        </w:rPr>
        <w:t>TO BE COMPLETED</w:t>
      </w:r>
      <w:r>
        <w:t xml:space="preserve"> (to be supplied by the author).</w:t>
      </w:r>
    </w:p>
    <w:p>
      <w:pPr>
        <w:pStyle w:val="ListBullet"/>
      </w:pPr>
      <w:r>
        <w:t>Acid sulfate soils: the NSW mapping layer reports the lot as not affected. This is a map layer result, not a planning certificate.</w:t>
      </w:r>
    </w:p>
    <w:p>
      <w:pPr>
        <w:pStyle w:val="ListBullet"/>
      </w:pPr>
      <w:r>
        <w:t>Biodiversity: the NSW mapping layer reports the lot as not affected. This is a map layer result, not a planning certificate.</w:t>
      </w:r>
    </w:p>
    <w:p>
      <w:pPr>
        <w:pStyle w:val="ListBullet"/>
      </w:pPr>
      <w:r>
        <w:t>Riparian land: the NSW mapping layer reports the lot as not affected. This is a map layer result, not a planning certificate.</w:t>
      </w:r>
    </w:p>
    <w:p>
      <w:pPr>
        <w:pStyle w:val="Heading1"/>
      </w:pPr>
      <w:r>
        <w:t>6. Conclusion</w:t>
      </w:r>
    </w:p>
    <w:p>
      <w:pPr>
        <w:pStyle w:val="ListBullet"/>
      </w:pPr>
      <w:r>
        <w:t>Against the controls tabulated in section 4, 0 are met, 0 are not met and 14 remain to be resolved.</w:t>
      </w:r>
    </w:p>
    <w:p>
      <w:pPr>
        <w:pStyle w:val="ListBullet"/>
      </w:pPr>
      <w:r/>
      <w:r>
        <w:rPr>
          <w:b/>
          <w:color w:val="C00000"/>
        </w:rPr>
        <w:t>TO BE COMPLETED</w:t>
      </w:r>
      <w:r>
        <w:t>: the author's conclusion on the merits of the proposal and its environmental effects</w:t>
      </w:r>
    </w:p>
    <w:p>
      <w:pPr>
        <w:pStyle w:val="ListBullet"/>
      </w:pPr>
      <w:r>
        <w:t xml:space="preserve">Prepared by: </w:t>
      </w:r>
      <w:r>
        <w:rPr>
          <w:b/>
          <w:color w:val="C00000"/>
        </w:rPr>
        <w:t>TO BE COMPLETED</w:t>
      </w:r>
      <w:r>
        <w:t xml:space="preserve"> (name and qualifications of the suitably qualified person who reviews and adopts this statement).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DRAFT: Statement of Environmental Effects (drafting aid, not for lodgement until reviewed)</w:t>
    </w:r>
    <w:r>
      <w:pict>
        <v:shapetype id="_x0000_t136" coordsize="21600,21600" o:spt="136" adj="10800" path="m@7,l@8,m@5,21600l@6,21600e">
          <v:path textpathok="t" o:connecttype="custom"/>
          <v:textpath on="t" fitshape="t"/>
        </v:shapetype>
        <v:shape id="PowerPlusWaterMarkObject1" o:spid="_x0000_s2049" type="#_x0000_t136" style="position:absolute;margin-left:0;margin-top:0;width:430pt;height:140pt;rotation:315;z-index:-251658752;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