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ABD089"/>
    <w:p w14:paraId="0DC67FE8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环境配置</w:t>
      </w:r>
    </w:p>
    <w:p w14:paraId="16C5249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软件运行环境</w:t>
      </w:r>
    </w:p>
    <w:p w14:paraId="241E7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本程序运行于 .NET Framework 4.8 环境。</w:t>
      </w:r>
    </w:p>
    <w:p w14:paraId="1D6891AE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请安装  .NET Framework 4.8 运行环境随后重启系统以完成配置。</w:t>
      </w:r>
    </w:p>
    <w:p w14:paraId="3CD8FF23">
      <w:pPr>
        <w:rPr>
          <w:rFonts w:hint="eastAsia"/>
          <w:lang w:val="en-US" w:eastAsia="zh-CN"/>
        </w:rPr>
      </w:pPr>
    </w:p>
    <w:p w14:paraId="5D2EF5D2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 w14:paraId="39594D2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20A010D1">
      <w:pPr>
        <w:pStyle w:val="5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本系统基于SqlSugar框架实现，具备多数据库适配与自动建表功能。用户需依据实际部署环境选择相应数据库类型。采用</w:t>
      </w:r>
      <w:r>
        <w:rPr>
          <w:rFonts w:hint="eastAsia"/>
          <w:color w:val="FF0000"/>
          <w:lang w:val="en-US" w:eastAsia="zh-CN"/>
        </w:rPr>
        <w:t>PostgreSQL数据库</w:t>
      </w:r>
      <w:r>
        <w:rPr>
          <w:rFonts w:hint="eastAsia"/>
          <w:lang w:val="en-US" w:eastAsia="zh-CN"/>
        </w:rPr>
        <w:t>，使用 postgresql-10.13-1-windows 版本。</w:t>
      </w:r>
    </w:p>
    <w:p w14:paraId="0A701D16">
      <w:pPr>
        <w:pStyle w:val="5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2E56AF18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创建数据库</w:t>
      </w:r>
    </w:p>
    <w:p w14:paraId="351D707A">
      <w:p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安装完毕后创建数据库，名称为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SL.MLineDataCollction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eastAsia="zh-CN"/>
        </w:rPr>
        <w:t>。</w:t>
      </w:r>
    </w:p>
    <w:p w14:paraId="4A00A65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连接信息</w:t>
      </w:r>
    </w:p>
    <w:p w14:paraId="0EDC35F7">
      <w:pPr>
        <w:rPr>
          <w:rFonts w:hint="eastAsia" w:eastAsiaTheme="minorEastAsia"/>
          <w:lang w:eastAsia="zh-CN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使用默认端口与用户名，数据库连接密码默认为123456。  </w:t>
      </w:r>
    </w:p>
    <w:p w14:paraId="0074369A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连接信息如下：  </w:t>
      </w:r>
    </w:p>
    <w:p w14:paraId="4CD27F64">
      <w:pPr>
        <w:pStyle w:val="5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name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DefaultConnection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connectionString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PORT=5432;DATABASE=SL.MLineDataCollction;HOST=127.0.0.1;PASSWORD=123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  <w:t>456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;USER ID=postgres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3910E272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</w:t>
      </w:r>
    </w:p>
    <w:p w14:paraId="1D246BB8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</w:t>
      </w:r>
    </w:p>
    <w:p w14:paraId="57710391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Release 模式下生成文件。</w:t>
      </w:r>
    </w:p>
    <w:p w14:paraId="26F5DB6A">
      <w:pPr>
        <w:numPr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A7E90B3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将 Npgsql.dll 、InstallUtil.bat 和 UnInstallUtil.bat拷贝到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SL.MLineDataPrecisionTracking.Service Release 的根目录。</w:t>
      </w:r>
    </w:p>
    <w:p w14:paraId="338A7F42">
      <w:pPr>
        <w:numPr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A774258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创建 sl-datacollection 文件夹，将 SL.MLineDataPrecisionTracking.Client 放置在 sl-datacollection 的 client 文件夹下，将 SL.MLineDataPrecisionTracking.Service 放置在 service 文件夹下。</w:t>
      </w:r>
    </w:p>
    <w:p w14:paraId="3843AECF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0F073C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修改client文件夹下的SL.MLineDataPrecisionTracking.Client.exe.config文件中的SoftwareName和ServiceUri配置项。其中，SoftwareName为软件名称，ServiceUri为后台端口，默认值为http://localhost:59088。</w:t>
      </w:r>
    </w:p>
    <w:p w14:paraId="1E2710B8">
      <w:pPr>
        <w:numPr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3FC9B3">
      <w:pPr>
        <w:numPr>
          <w:numId w:val="0"/>
        </w:numPr>
        <w:ind w:leftChars="0"/>
      </w:pPr>
      <w:r>
        <w:drawing>
          <wp:inline distT="0" distB="0" distL="114300" distR="114300">
            <wp:extent cx="4667250" cy="7715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7389">
      <w:pPr>
        <w:numPr>
          <w:numId w:val="0"/>
        </w:numPr>
        <w:ind w:leftChars="0"/>
      </w:pPr>
    </w:p>
    <w:p w14:paraId="04F06ECD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修改service文件夹下的SL.MLineDataPrecisionTracking.Service.exe.config文件中的DefaultConnection、IsCreateTable和ServiceUri配置项。其中，DefaultConnection为数据库连接信息，IsCreateTable为是否创库选项，ServiceUri为后台端口，默认值为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"http://localhost:59088。" </w:instrTex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http://localhost:59088。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2575C404">
      <w:pPr>
        <w:pStyle w:val="5"/>
        <w:keepNext w:val="0"/>
        <w:keepLines w:val="0"/>
        <w:widowControl/>
        <w:numPr>
          <w:numId w:val="0"/>
        </w:numPr>
        <w:suppressLineNumbers w:val="0"/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DA06C9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695960"/>
            <wp:effectExtent l="0" t="0" r="4445" b="889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56BD0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</w:t>
      </w:r>
    </w:p>
    <w:p w14:paraId="3E830729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将文件拷贝到目标电脑上，默认软件在D盘部署。</w:t>
      </w:r>
    </w:p>
    <w:p w14:paraId="5DBBB02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打开 service 文件夹 ，右键管理员启动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InstallUtil.bat 文件安装服务程序。</w:t>
      </w:r>
    </w:p>
    <w:p w14:paraId="78A9FEEB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安装完成后需在服务里检测是否安装成功。</w:t>
      </w:r>
    </w:p>
    <w:p w14:paraId="1611E795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86F37DD">
      <w:pPr>
        <w:numPr>
          <w:numId w:val="0"/>
        </w:numPr>
        <w:ind w:leftChars="0"/>
      </w:pPr>
      <w:r>
        <w:drawing>
          <wp:inline distT="0" distB="0" distL="114300" distR="114300">
            <wp:extent cx="4140835" cy="1475740"/>
            <wp:effectExtent l="0" t="0" r="12065" b="1016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147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CB907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检测服务状态是否为 自动 正在运行。</w:t>
      </w:r>
    </w:p>
    <w:p w14:paraId="5B62E86A">
      <w:pPr>
        <w:numPr>
          <w:numId w:val="0"/>
        </w:numPr>
        <w:ind w:leftChars="0"/>
      </w:pPr>
      <w:r>
        <w:drawing>
          <wp:inline distT="0" distB="0" distL="114300" distR="114300">
            <wp:extent cx="2313305" cy="2962910"/>
            <wp:effectExtent l="0" t="0" r="10795" b="889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7BB57">
      <w:pPr>
        <w:numPr>
          <w:numId w:val="0"/>
        </w:numPr>
        <w:ind w:leftChars="0"/>
      </w:pPr>
    </w:p>
    <w:p w14:paraId="2FBD7826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为SL.MLineDataPrecisionTracking.Service.exe 创建快捷方式，并根据软件重命名。</w:t>
      </w:r>
    </w:p>
    <w:p w14:paraId="4E9F2765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将快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捷方式 放在桌面和 win 启动文件夹（用于开机启动）各一份。，win 启动文件夹 不同系统不一样，以 win 10 为列：按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Win + R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，输入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shell:Common startup。</w:t>
      </w:r>
    </w:p>
    <w:p w14:paraId="394C6449">
      <w:pPr>
        <w:widowControl w:val="0"/>
        <w:numPr>
          <w:numId w:val="0"/>
        </w:numPr>
        <w:jc w:val="both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02A309E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软件配置</w:t>
      </w:r>
    </w:p>
    <w:p w14:paraId="3163308E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在客户端设置界面将doc对应的点位信息导入即可。</w:t>
      </w:r>
    </w:p>
    <w:p w14:paraId="0A9437A7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如果是装配线启用 ab即可，禁用热处理。热处理亦然。如启用的服务为在运行中点击启动启用服务。</w:t>
      </w:r>
    </w:p>
    <w:p w14:paraId="4167BE0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重启客户端即可展示对应的信息。</w:t>
      </w:r>
      <w:bookmarkStart w:id="0" w:name="_GoBack"/>
      <w:bookmarkEnd w:id="0"/>
    </w:p>
    <w:p w14:paraId="77F7BC5E">
      <w:pPr>
        <w:numPr>
          <w:numId w:val="0"/>
        </w:numPr>
        <w:ind w:left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268595" cy="1546860"/>
            <wp:effectExtent l="0" t="0" r="8255" b="1524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85D68">
      <w:pPr>
        <w:rPr>
          <w:rFonts w:hint="default"/>
          <w:lang w:val="en-US" w:eastAsia="zh-CN"/>
        </w:rPr>
      </w:pPr>
    </w:p>
    <w:p w14:paraId="4EC26A15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1DE5DBEB">
      <w:pPr>
        <w:pStyle w:val="2"/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点位配置 </w:t>
      </w:r>
    </w:p>
    <w:p w14:paraId="1FB9A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根据反馈给的点位配置对应的数据结构。</w:t>
      </w:r>
    </w:p>
    <w:tbl>
      <w:tblPr>
        <w:tblStyle w:val="6"/>
        <w:tblW w:w="90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3"/>
        <w:gridCol w:w="1656"/>
        <w:gridCol w:w="1107"/>
        <w:gridCol w:w="1545"/>
        <w:gridCol w:w="439"/>
        <w:gridCol w:w="439"/>
        <w:gridCol w:w="886"/>
        <w:gridCol w:w="896"/>
        <w:gridCol w:w="439"/>
        <w:gridCol w:w="454"/>
        <w:gridCol w:w="454"/>
      </w:tblGrid>
      <w:tr w14:paraId="174B76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3863332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设备名称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7403FE5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PLC_IP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0BD9C78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PLC_Port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7C53BD7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点位名称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512191A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描述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5A22E8F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区块</w:t>
            </w:r>
          </w:p>
        </w:tc>
        <w:tc>
          <w:tcPr>
            <w:tcW w:w="88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2C7FDD1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地址</w:t>
            </w:r>
          </w:p>
        </w:tc>
        <w:tc>
          <w:tcPr>
            <w:tcW w:w="89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200027C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36728F7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长度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7B41C12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读取公式</w:t>
            </w:r>
          </w:p>
        </w:tc>
        <w:tc>
          <w:tcPr>
            <w:tcW w:w="454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02CDDBB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下发公式</w:t>
            </w:r>
          </w:p>
        </w:tc>
      </w:tr>
      <w:tr w14:paraId="7F3437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2DE34C7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B线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6DDC193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100.100.100.3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274F7E6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47D9CE5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ABS检测齿数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6CA650F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142231C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D</w:t>
            </w:r>
          </w:p>
        </w:tc>
        <w:tc>
          <w:tcPr>
            <w:tcW w:w="88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4166205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13097</w:t>
            </w:r>
          </w:p>
        </w:tc>
        <w:tc>
          <w:tcPr>
            <w:tcW w:w="89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4A2B596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ascii="宋体" w:hAnsi="新宋体" w:eastAsia="宋体" w:cs="新宋体"/>
                <w:i w:val="0"/>
                <w:iCs w:val="0"/>
                <w:color w:val="FF0000"/>
                <w:sz w:val="22"/>
                <w:szCs w:val="18"/>
                <w:u w:val="none"/>
              </w:rPr>
            </w:pPr>
            <w:r>
              <w:rPr>
                <w:rFonts w:hint="eastAsia" w:ascii="宋体" w:hAnsi="新宋体" w:eastAsia="宋体" w:cs="新宋体"/>
                <w:i w:val="0"/>
                <w:iCs w:val="0"/>
                <w:color w:val="FF0000"/>
                <w:kern w:val="0"/>
                <w:sz w:val="22"/>
                <w:szCs w:val="18"/>
                <w:u w:val="none"/>
                <w:lang w:val="en-US" w:eastAsia="zh-CN" w:bidi="ar"/>
              </w:rPr>
              <w:t>Int32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55A3824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0F8E6B2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  <w:tc>
          <w:tcPr>
            <w:tcW w:w="454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485E207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</w:tr>
      <w:tr w14:paraId="61791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5A17635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B线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7A5E67E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100.100.100.3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65625E2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462521D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ABS检测峰值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49038A2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51F1A1E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D</w:t>
            </w:r>
          </w:p>
        </w:tc>
        <w:tc>
          <w:tcPr>
            <w:tcW w:w="88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2774495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13093</w:t>
            </w:r>
          </w:p>
        </w:tc>
        <w:tc>
          <w:tcPr>
            <w:tcW w:w="89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20E4089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新宋体" w:eastAsia="宋体" w:cs="新宋体"/>
                <w:i w:val="0"/>
                <w:iCs w:val="0"/>
                <w:color w:val="FF0000"/>
                <w:sz w:val="22"/>
                <w:szCs w:val="18"/>
                <w:u w:val="none"/>
              </w:rPr>
            </w:pPr>
            <w:r>
              <w:rPr>
                <w:rFonts w:hint="eastAsia" w:ascii="宋体" w:hAnsi="新宋体" w:eastAsia="宋体" w:cs="新宋体"/>
                <w:i w:val="0"/>
                <w:iCs w:val="0"/>
                <w:color w:val="FF0000"/>
                <w:kern w:val="0"/>
                <w:sz w:val="22"/>
                <w:szCs w:val="18"/>
                <w:u w:val="none"/>
                <w:lang w:val="en-US" w:eastAsia="zh-CN" w:bidi="ar"/>
              </w:rPr>
              <w:t>Int32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66E728D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13CD98A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  <w:tc>
          <w:tcPr>
            <w:tcW w:w="454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3B4348B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</w:tr>
      <w:tr w14:paraId="225423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62A4CFA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B线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2EB2ACB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100.100.100.3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5C91BB2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34429D5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ABS检测谷值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62696D7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21E8320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D</w:t>
            </w:r>
          </w:p>
        </w:tc>
        <w:tc>
          <w:tcPr>
            <w:tcW w:w="88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4350009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13095</w:t>
            </w:r>
          </w:p>
        </w:tc>
        <w:tc>
          <w:tcPr>
            <w:tcW w:w="89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3ED5A94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新宋体" w:eastAsia="宋体" w:cs="新宋体"/>
                <w:i w:val="0"/>
                <w:iCs w:val="0"/>
                <w:color w:val="FF0000"/>
                <w:sz w:val="22"/>
                <w:szCs w:val="18"/>
                <w:u w:val="none"/>
              </w:rPr>
            </w:pPr>
            <w:r>
              <w:rPr>
                <w:rFonts w:hint="eastAsia" w:ascii="宋体" w:hAnsi="新宋体" w:eastAsia="宋体" w:cs="新宋体"/>
                <w:i w:val="0"/>
                <w:iCs w:val="0"/>
                <w:color w:val="FF0000"/>
                <w:kern w:val="0"/>
                <w:sz w:val="22"/>
                <w:szCs w:val="18"/>
                <w:u w:val="none"/>
                <w:lang w:val="en-US" w:eastAsia="zh-CN" w:bidi="ar"/>
              </w:rPr>
              <w:t>Int32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21A8870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338FF95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  <w:tc>
          <w:tcPr>
            <w:tcW w:w="454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0052F12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</w:tr>
      <w:tr w14:paraId="214F90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23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358240C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B线</w:t>
            </w:r>
          </w:p>
        </w:tc>
        <w:tc>
          <w:tcPr>
            <w:tcW w:w="165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66C4FBF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100.100.100.3</w:t>
            </w:r>
          </w:p>
        </w:tc>
        <w:tc>
          <w:tcPr>
            <w:tcW w:w="1107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0E1B51E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  <w:tc>
          <w:tcPr>
            <w:tcW w:w="1545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19A890A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齿圈压装位移</w:t>
            </w:r>
          </w:p>
        </w:tc>
        <w:tc>
          <w:tcPr>
            <w:tcW w:w="439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15D04F3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  <w:tc>
          <w:tcPr>
            <w:tcW w:w="439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vAlign w:val="center"/>
          </w:tcPr>
          <w:p w14:paraId="429370D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D</w:t>
            </w:r>
          </w:p>
        </w:tc>
        <w:tc>
          <w:tcPr>
            <w:tcW w:w="88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31B928E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13047</w:t>
            </w:r>
          </w:p>
        </w:tc>
        <w:tc>
          <w:tcPr>
            <w:tcW w:w="896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3D16D3B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新宋体" w:eastAsia="宋体" w:cs="新宋体"/>
                <w:i w:val="0"/>
                <w:iCs w:val="0"/>
                <w:color w:val="FF0000"/>
                <w:sz w:val="22"/>
                <w:szCs w:val="18"/>
                <w:u w:val="none"/>
              </w:rPr>
            </w:pPr>
            <w:r>
              <w:rPr>
                <w:rFonts w:hint="eastAsia" w:ascii="宋体" w:hAnsi="新宋体" w:eastAsia="宋体" w:cs="新宋体"/>
                <w:i w:val="0"/>
                <w:iCs w:val="0"/>
                <w:color w:val="FF0000"/>
                <w:kern w:val="0"/>
                <w:sz w:val="22"/>
                <w:szCs w:val="18"/>
                <w:u w:val="none"/>
                <w:lang w:val="en-US" w:eastAsia="zh-CN" w:bidi="ar"/>
              </w:rPr>
              <w:t>Int32</w:t>
            </w:r>
          </w:p>
        </w:tc>
        <w:tc>
          <w:tcPr>
            <w:tcW w:w="439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329F567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454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69CEA26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  <w:tc>
          <w:tcPr>
            <w:tcW w:w="454" w:type="dxa"/>
            <w:tcBorders>
              <w:top w:val="single" w:color="CCCCCC" w:sz="8" w:space="0"/>
              <w:left w:val="single" w:color="CCCCCC" w:sz="8" w:space="0"/>
              <w:bottom w:val="single" w:color="CCCCCC" w:sz="8" w:space="0"/>
              <w:right w:val="single" w:color="CCCCCC" w:sz="8" w:space="0"/>
            </w:tcBorders>
            <w:shd w:val="clear" w:color="auto" w:fill="auto"/>
            <w:noWrap/>
            <w:vAlign w:val="center"/>
          </w:tcPr>
          <w:p w14:paraId="6ABF79D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olor w:val="FF0000"/>
                <w:sz w:val="22"/>
                <w:szCs w:val="22"/>
                <w:u w:val="none"/>
              </w:rPr>
            </w:pPr>
          </w:p>
        </w:tc>
      </w:tr>
    </w:tbl>
    <w:p w14:paraId="6A45212D">
      <w:pPr>
        <w:rPr>
          <w:rFonts w:hint="default"/>
          <w:lang w:val="en-US" w:eastAsia="zh-CN"/>
        </w:rPr>
      </w:pPr>
    </w:p>
    <w:p w14:paraId="486CB288">
      <w:pPr>
        <w:pStyle w:val="5"/>
        <w:keepNext w:val="0"/>
        <w:keepLines w:val="0"/>
        <w:widowControl/>
        <w:suppressLineNumbers w:val="0"/>
        <w:rPr>
          <w:rFonts w:hint="eastAsia" w:eastAsia="宋体"/>
          <w:lang w:eastAsia="zh-CN"/>
        </w:rPr>
      </w:pPr>
      <w:r>
        <w:rPr>
          <w:rFonts w:hint="eastAsia"/>
          <w:b/>
          <w:bCs/>
          <w:lang w:val="en-US" w:eastAsia="zh-CN"/>
        </w:rPr>
        <w:t>设备名称：</w:t>
      </w:r>
      <w:r>
        <w:rPr>
          <w:rFonts w:hint="eastAsia"/>
          <w:b w:val="0"/>
          <w:bCs w:val="0"/>
          <w:lang w:val="en-US" w:eastAsia="zh-CN"/>
        </w:rPr>
        <w:t>线体名称应与继承ProLineDataCollectionServiceAbstract的</w:t>
      </w:r>
      <w:r>
        <w:rPr>
          <w:rFonts w:hint="eastAsia" w:ascii="新宋体" w:hAnsi="新宋体" w:eastAsia="新宋体" w:cs="新宋体"/>
          <w:b w:val="0"/>
          <w:bCs w:val="0"/>
          <w:color w:val="0000FF"/>
          <w:sz w:val="18"/>
          <w:szCs w:val="18"/>
          <w:lang w:val="en-US" w:eastAsia="zh-CN"/>
        </w:rPr>
        <w:t>_lineName</w:t>
      </w:r>
      <w:r>
        <w:rPr>
          <w:rFonts w:hint="eastAsia"/>
          <w:b w:val="0"/>
          <w:bCs w:val="0"/>
          <w:lang w:val="en-US" w:eastAsia="zh-CN"/>
        </w:rPr>
        <w:t xml:space="preserve">属性保持一致。  </w:t>
      </w:r>
    </w:p>
    <w:p w14:paraId="02B038B3">
      <w:pPr>
        <w:pStyle w:val="5"/>
        <w:keepNext w:val="0"/>
        <w:keepLines w:val="0"/>
        <w:widowControl/>
        <w:suppressLineNumbers w:val="0"/>
        <w:rPr>
          <w:rFonts w:hint="eastAsia" w:eastAsia="宋体"/>
          <w:lang w:eastAsia="zh-CN"/>
        </w:rPr>
      </w:pPr>
      <w:r>
        <w:rPr>
          <w:rFonts w:hint="eastAsia"/>
          <w:b/>
          <w:bCs/>
          <w:lang w:val="en-US" w:eastAsia="zh-CN"/>
        </w:rPr>
        <w:t>PLC_IP：</w:t>
      </w:r>
      <w:r>
        <w:rPr>
          <w:rFonts w:hint="eastAsia"/>
          <w:b w:val="0"/>
          <w:bCs w:val="0"/>
          <w:lang w:val="en-US" w:eastAsia="zh-CN"/>
        </w:rPr>
        <w:t xml:space="preserve">IP地址；  </w:t>
      </w:r>
    </w:p>
    <w:p w14:paraId="6AF46980">
      <w:pPr>
        <w:pStyle w:val="5"/>
        <w:keepNext w:val="0"/>
        <w:keepLines w:val="0"/>
        <w:widowControl/>
        <w:suppressLineNumbers w:val="0"/>
        <w:rPr>
          <w:rFonts w:hint="eastAsia" w:eastAsia="宋体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PLC_Port</w:t>
      </w: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  <w:r>
        <w:rPr>
          <w:rFonts w:hint="eastAsia"/>
          <w:b w:val="0"/>
          <w:bCs w:val="0"/>
          <w:lang w:val="en-US" w:eastAsia="zh-CN"/>
        </w:rPr>
        <w:t xml:space="preserve">IP端口；  </w:t>
      </w:r>
    </w:p>
    <w:p w14:paraId="72E5386C">
      <w:pPr>
        <w:pStyle w:val="5"/>
        <w:keepNext w:val="0"/>
        <w:keepLines w:val="0"/>
        <w:widowControl/>
        <w:suppressLineNumbers w:val="0"/>
        <w:rPr>
          <w:rFonts w:hint="eastAsia" w:eastAsia="宋体"/>
          <w:lang w:eastAsia="zh-CN"/>
        </w:rPr>
      </w:pP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点位名称：</w:t>
      </w:r>
      <w:r>
        <w:rPr>
          <w:rFonts w:hint="eastAsia"/>
          <w:b w:val="0"/>
          <w:bCs w:val="0"/>
          <w:lang w:val="en-US" w:eastAsia="zh-CN"/>
        </w:rPr>
        <w:t xml:space="preserve">点位名称需与Entities中线体数据模型内[SugarColumn(ColumnDescription = "型号A")]的ColumnDescription描述保持一致（用于反射赋值）。  </w:t>
      </w:r>
    </w:p>
    <w:p w14:paraId="11816489">
      <w:pPr>
        <w:pStyle w:val="5"/>
        <w:keepNext w:val="0"/>
        <w:keepLines w:val="0"/>
        <w:widowControl/>
        <w:suppressLineNumbers w:val="0"/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描述</w:t>
      </w: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  <w:r>
        <w:rPr>
          <w:rFonts w:hint="eastAsia"/>
          <w:b w:val="0"/>
          <w:bCs w:val="0"/>
          <w:lang w:val="en-US" w:eastAsia="zh-CN"/>
        </w:rPr>
        <w:t xml:space="preserve">略； </w:t>
      </w: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</w:t>
      </w:r>
    </w:p>
    <w:p w14:paraId="2D98C76F">
      <w:pPr>
        <w:pStyle w:val="5"/>
        <w:keepNext w:val="0"/>
        <w:keepLines w:val="0"/>
        <w:widowControl/>
        <w:suppressLineNumbers w:val="0"/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区块</w:t>
      </w: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：交</w:t>
      </w:r>
      <w:r>
        <w:rPr>
          <w:rFonts w:hint="eastAsia"/>
          <w:b w:val="0"/>
          <w:bCs w:val="0"/>
          <w:lang w:val="en-US" w:eastAsia="zh-CN"/>
        </w:rPr>
        <w:t xml:space="preserve">互区块；  </w:t>
      </w:r>
    </w:p>
    <w:p w14:paraId="568559A2">
      <w:pPr>
        <w:pStyle w:val="5"/>
        <w:keepNext w:val="0"/>
        <w:keepLines w:val="0"/>
        <w:widowControl/>
        <w:suppressLineNumbers w:val="0"/>
        <w:rPr>
          <w:rFonts w:hint="eastAsia"/>
          <w:b w:val="0"/>
          <w:bCs w:val="0"/>
          <w:lang w:val="en-US" w:eastAsia="zh-CN"/>
        </w:rPr>
      </w:pP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地址：</w:t>
      </w:r>
      <w:r>
        <w:rPr>
          <w:rFonts w:hint="eastAsia"/>
          <w:b w:val="0"/>
          <w:bCs w:val="0"/>
          <w:lang w:val="en-US" w:eastAsia="zh-CN"/>
        </w:rPr>
        <w:t xml:space="preserve">交互地址；  </w:t>
      </w:r>
    </w:p>
    <w:p w14:paraId="2D91AA62">
      <w:pPr>
        <w:pStyle w:val="5"/>
        <w:keepNext w:val="0"/>
        <w:keepLines w:val="0"/>
        <w:widowControl/>
        <w:suppressLineNumbers w:val="0"/>
        <w:rPr>
          <w:rFonts w:hint="eastAsia" w:eastAsia="宋体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数据类型</w:t>
      </w: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  <w:r>
        <w:rPr>
          <w:rFonts w:hint="eastAsia"/>
          <w:b w:val="0"/>
          <w:bCs w:val="0"/>
          <w:lang w:val="en-US" w:eastAsia="zh-CN"/>
        </w:rPr>
        <w:t xml:space="preserve">参见Expand中的ToTypeCode数据转换说明。  </w:t>
      </w:r>
    </w:p>
    <w:p w14:paraId="03C52475">
      <w:pPr>
        <w:pStyle w:val="5"/>
        <w:keepNext w:val="0"/>
        <w:keepLines w:val="0"/>
        <w:widowControl/>
        <w:suppressLineNumbers w:val="0"/>
        <w:jc w:val="left"/>
        <w:rPr>
          <w:rFonts w:hint="eastAsia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长度</w:t>
      </w: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  <w:r>
        <w:rPr>
          <w:rFonts w:hint="eastAsia"/>
          <w:b w:val="0"/>
          <w:bCs w:val="0"/>
          <w:lang w:val="en-US" w:eastAsia="zh-CN"/>
        </w:rPr>
        <w:t>读取长度，默认对应int16或byte的长度。</w:t>
      </w:r>
    </w:p>
    <w:p w14:paraId="6EF62F37">
      <w:pPr>
        <w:pStyle w:val="5"/>
        <w:keepNext w:val="0"/>
        <w:keepLines w:val="0"/>
        <w:widowControl/>
        <w:suppressLineNumbers w:val="0"/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当数据大于int16时，例如D13097，若长度为2且数据类型为int32（int32为4字节，int16为2字节，即int32长度为int16的两倍），则int32长度应设为1。String 是 1/2 int 16。</w:t>
      </w:r>
    </w:p>
    <w:p w14:paraId="6E2EB5F8">
      <w:pPr>
        <w:pStyle w:val="5"/>
        <w:keepNext w:val="0"/>
        <w:keepLines w:val="0"/>
        <w:widowControl/>
        <w:suppressLineNumbers w:val="0"/>
        <w:jc w:val="left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小于等于  int16时 就是 长度就是给与的长度。</w:t>
      </w:r>
    </w:p>
    <w:p w14:paraId="782F90D4">
      <w:pPr>
        <w:pStyle w:val="5"/>
        <w:keepNext w:val="0"/>
        <w:keepLines w:val="0"/>
        <w:widowControl/>
        <w:suppressLineNumbers w:val="0"/>
        <w:rPr>
          <w:rFonts w:hint="eastAsia" w:eastAsia="宋体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读取公式</w:t>
      </w: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  <w:r>
        <w:rPr>
          <w:rFonts w:hint="eastAsia"/>
          <w:b w:val="0"/>
          <w:bCs w:val="0"/>
          <w:lang w:val="en-US" w:eastAsia="zh-CN"/>
        </w:rPr>
        <w:t>在需要转换读取数据时进行配置。例如，齿圈压装位移由PLC提供的数值为258，触摸屏显示为2.58，表示存在两位小数。配置公式为：({0}/100)。公式需采用全英文输入，具体说明请参阅Expand StringCompute</w:t>
      </w:r>
      <w:r>
        <w:rPr>
          <w:rFonts w:hint="eastAsia" w:ascii="新宋体" w:hAnsi="新宋体" w:eastAsia="新宋体" w:cs="新宋体"/>
          <w:color w:val="74531F"/>
          <w:sz w:val="18"/>
          <w:szCs w:val="18"/>
          <w:lang w:val="en-US" w:eastAsia="zh-CN"/>
        </w:rPr>
        <w:t xml:space="preserve"> ；</w:t>
      </w:r>
    </w:p>
    <w:p w14:paraId="70A5582B">
      <w:pPr>
        <w:pStyle w:val="5"/>
        <w:keepNext w:val="0"/>
        <w:keepLines w:val="0"/>
        <w:widowControl/>
        <w:suppressLineNumbers w:val="0"/>
        <w:jc w:val="left"/>
        <w:rPr>
          <w:rFonts w:hint="eastAsia" w:eastAsia="宋体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下发公式</w:t>
      </w:r>
      <w:r>
        <w:rPr>
          <w:rFonts w:hint="eastAsia" w:cs="宋体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  <w:r>
        <w:rPr>
          <w:rFonts w:hint="eastAsia"/>
          <w:b w:val="0"/>
          <w:bCs w:val="0"/>
          <w:lang w:val="en-US" w:eastAsia="zh-CN"/>
        </w:rPr>
        <w:t>暂无；（待后续开发）</w:t>
      </w:r>
    </w:p>
    <w:p w14:paraId="3A59A820">
      <w:pPr>
        <w:pStyle w:val="2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程序打包</w:t>
      </w:r>
    </w:p>
    <w:p w14:paraId="5C0A05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在Release模式下构建生产程序集。</w:t>
      </w:r>
    </w:p>
    <w:p w14:paraId="5504CA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同时，将数据库配置所对应的动态链接库文件复制至生成目录。</w:t>
      </w:r>
    </w:p>
    <w:p w14:paraId="21B7B798">
      <w:r>
        <w:drawing>
          <wp:inline distT="0" distB="0" distL="114300" distR="114300">
            <wp:extent cx="2562225" cy="32385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61CAE">
      <w:pPr>
        <w:rPr>
          <w:rFonts w:hint="eastAsia"/>
          <w:lang w:val="en-US" w:eastAsia="zh-CN"/>
        </w:rPr>
      </w:pPr>
    </w:p>
    <w:p w14:paraId="7E965032">
      <w:pPr>
        <w:pStyle w:val="2"/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23C2CE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把生成的文件复制到生产电脑上，在桌面上创建快捷方式，并设置为开机自动启动。</w:t>
      </w:r>
    </w:p>
    <w:p w14:paraId="2FD5BD7C">
      <w:pPr>
        <w:rPr>
          <w:rFonts w:hint="eastAsia"/>
          <w:lang w:val="en-US" w:eastAsia="zh-CN"/>
        </w:rPr>
      </w:pPr>
    </w:p>
    <w:p w14:paraId="5C57E0B5">
      <w:pPr>
        <w:pStyle w:val="2"/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初始运行</w:t>
      </w:r>
    </w:p>
    <w:p w14:paraId="51F1D72D">
      <w:pPr>
        <w:pStyle w:val="3"/>
        <w:numPr>
          <w:ilvl w:val="1"/>
          <w:numId w:val="5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点位导入</w:t>
      </w:r>
    </w:p>
    <w:p w14:paraId="35FE88FA">
      <w:r>
        <w:drawing>
          <wp:inline distT="0" distB="0" distL="114300" distR="114300">
            <wp:extent cx="5271135" cy="630555"/>
            <wp:effectExtent l="0" t="0" r="5715" b="1714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3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3FE95">
      <w:pPr>
        <w:pStyle w:val="3"/>
        <w:numPr>
          <w:ilvl w:val="1"/>
          <w:numId w:val="5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模型信息录入</w:t>
      </w:r>
    </w:p>
    <w:p w14:paraId="4D7686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手动填写，模型编号对应的模型名称到数据库。</w:t>
      </w:r>
    </w:p>
    <w:p w14:paraId="3EF5479F">
      <w:r>
        <w:drawing>
          <wp:inline distT="0" distB="0" distL="114300" distR="114300">
            <wp:extent cx="5269230" cy="1828165"/>
            <wp:effectExtent l="0" t="0" r="7620" b="63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04BD4"/>
    <w:p w14:paraId="7736D5F1">
      <w:pPr>
        <w:rPr>
          <w:rFonts w:hint="eastAsia" w:ascii="Arial" w:hAnsi="Arial" w:eastAsia="黑体" w:cstheme="minorBidi"/>
          <w:b/>
          <w:kern w:val="2"/>
          <w:sz w:val="32"/>
          <w:szCs w:val="24"/>
          <w:lang w:val="en-US" w:eastAsia="zh-CN" w:bidi="ar-SA"/>
        </w:rPr>
      </w:pPr>
      <w:r>
        <w:rPr>
          <w:rFonts w:hint="eastAsia" w:ascii="Arial" w:hAnsi="Arial" w:eastAsia="黑体" w:cstheme="minorBidi"/>
          <w:b/>
          <w:kern w:val="2"/>
          <w:sz w:val="32"/>
          <w:szCs w:val="24"/>
          <w:lang w:val="en-US" w:eastAsia="zh-CN" w:bidi="ar-SA"/>
        </w:rPr>
        <w:t>重启软件</w:t>
      </w:r>
    </w:p>
    <w:p w14:paraId="63AF59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初次没得数据时不会读取点位信息，并且无法热加载。到完配置完后重启即可。</w:t>
      </w:r>
    </w:p>
    <w:p w14:paraId="491D3C09">
      <w:pPr>
        <w:rPr>
          <w:rFonts w:hint="eastAsia"/>
          <w:lang w:val="en-US" w:eastAsia="zh-CN"/>
        </w:rPr>
      </w:pPr>
    </w:p>
    <w:p w14:paraId="516EB3BF">
      <w:pPr>
        <w:rPr>
          <w:rFonts w:hint="eastAsia"/>
          <w:lang w:val="en-US" w:eastAsia="zh-CN"/>
        </w:rPr>
      </w:pPr>
    </w:p>
    <w:p w14:paraId="28EA1117">
      <w:pPr>
        <w:rPr>
          <w:rFonts w:hint="default"/>
          <w:lang w:val="en-US" w:eastAsia="zh-CN"/>
        </w:rPr>
      </w:pPr>
    </w:p>
    <w:p w14:paraId="2EACA3E2">
      <w:pPr>
        <w:rPr>
          <w:rFonts w:hint="eastAsia"/>
          <w:lang w:val="en-US" w:eastAsia="zh-CN"/>
        </w:rPr>
      </w:pPr>
    </w:p>
    <w:p w14:paraId="2F3E56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3ABAC1"/>
    <w:multiLevelType w:val="singleLevel"/>
    <w:tmpl w:val="8B3ABA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9A805B82"/>
    <w:multiLevelType w:val="singleLevel"/>
    <w:tmpl w:val="9A805B8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920D7F3"/>
    <w:multiLevelType w:val="multilevel"/>
    <w:tmpl w:val="A920D7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">
    <w:nsid w:val="1651F4DB"/>
    <w:multiLevelType w:val="multilevel"/>
    <w:tmpl w:val="1651F4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4">
    <w:nsid w:val="4B5523F5"/>
    <w:multiLevelType w:val="singleLevel"/>
    <w:tmpl w:val="4B5523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567D1D"/>
    <w:rsid w:val="06331D89"/>
    <w:rsid w:val="0C7D2D9F"/>
    <w:rsid w:val="1D8B55E5"/>
    <w:rsid w:val="25AC5565"/>
    <w:rsid w:val="31A34B33"/>
    <w:rsid w:val="329F4801"/>
    <w:rsid w:val="43C94288"/>
    <w:rsid w:val="460129A5"/>
    <w:rsid w:val="4CEF75E7"/>
    <w:rsid w:val="4EFC41A1"/>
    <w:rsid w:val="595816FC"/>
    <w:rsid w:val="63D7141F"/>
    <w:rsid w:val="7D256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8">
    <w:name w:val="Hyperlink"/>
    <w:basedOn w:val="7"/>
    <w:uiPriority w:val="0"/>
    <w:rPr>
      <w:color w:val="0000FF"/>
      <w:u w:val="single"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859</Words>
  <Characters>1427</Characters>
  <Lines>0</Lines>
  <Paragraphs>0</Paragraphs>
  <TotalTime>31</TotalTime>
  <ScaleCrop>false</ScaleCrop>
  <LinksUpToDate>false</LinksUpToDate>
  <CharactersWithSpaces>1467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2026-04-20T00:52:00Z</dcterms:created>
  <dc:creator>C2300040802</dc:creator>
  <cp:lastModifiedBy>       </cp:lastModifiedBy>
  <dcterms:modified xsi:type="dcterms:W3CDTF">2026-05-07T08:09:04Z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eyJoZGlkIjoiY2E5ZGVlMjUyNzEwNDY1YjBhMGE0NjhiM2U4MDMzOWYiLCJ1c2VySWQiOiIyMTYwODA0NTcifQ==</vt:lpwstr>
  </property>
  <property fmtid="{D5CDD505-2E9C-101B-9397-08002B2CF9AE}" pid="4" name="ICV">
    <vt:lpwstr>3EC0EC6D7AB4432CB926FB0C60F5FD85_12</vt:lpwstr>
  </property>
</Properties>
</file>