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BABD089"/>
    <w:p w14:paraId="0DC67FE8"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环境配置</w:t>
      </w:r>
    </w:p>
    <w:p w14:paraId="16C5249A">
      <w:pPr>
        <w:pStyle w:val="3"/>
        <w:numPr>
          <w:ilvl w:val="1"/>
          <w:numId w:val="1"/>
        </w:numPr>
        <w:bidi w:val="0"/>
        <w:ind w:left="567" w:leftChars="0" w:hanging="567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软件运行环境</w:t>
      </w:r>
    </w:p>
    <w:p w14:paraId="241E7C8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本程序运行于 .NET Framework 4.8 环境。</w:t>
      </w:r>
    </w:p>
    <w:p w14:paraId="1D6891AE">
      <w:pPr>
        <w:rPr>
          <w:rFonts w:hint="eastAsia" w:eastAsiaTheme="minorEastAsia"/>
          <w:lang w:eastAsia="zh-CN"/>
        </w:rPr>
      </w:pPr>
      <w:r>
        <w:rPr>
          <w:rFonts w:hint="eastAsia"/>
          <w:lang w:val="en-US" w:eastAsia="zh-CN"/>
        </w:rPr>
        <w:t>请安装  .NET Framework 4.8 运行环境随后重启系统以完成配置。</w:t>
      </w:r>
    </w:p>
    <w:p w14:paraId="3CD8FF23">
      <w:pPr>
        <w:rPr>
          <w:rFonts w:hint="eastAsia"/>
          <w:lang w:val="en-US" w:eastAsia="zh-CN"/>
        </w:rPr>
      </w:pPr>
    </w:p>
    <w:p w14:paraId="5D2EF5D2">
      <w:pPr>
        <w:pStyle w:val="3"/>
        <w:numPr>
          <w:ilvl w:val="1"/>
          <w:numId w:val="1"/>
        </w:numPr>
        <w:bidi w:val="0"/>
        <w:ind w:left="567" w:leftChars="0" w:hanging="567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数据库</w:t>
      </w:r>
    </w:p>
    <w:p w14:paraId="39594D2F">
      <w:pPr>
        <w:pStyle w:val="4"/>
        <w:numPr>
          <w:ilvl w:val="2"/>
          <w:numId w:val="1"/>
        </w:numPr>
        <w:bidi w:val="0"/>
        <w:ind w:left="709" w:leftChars="0" w:hanging="709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安装</w:t>
      </w:r>
    </w:p>
    <w:p w14:paraId="20A010D1">
      <w:pPr>
        <w:pStyle w:val="5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本系统基于SqlSugar框架实现，具备多数据库适配与自动建表功能。用户需依据实际部署环境选择相应数据库类型。采用</w:t>
      </w:r>
      <w:r>
        <w:rPr>
          <w:rFonts w:hint="eastAsia"/>
          <w:color w:val="FF0000"/>
          <w:lang w:val="en-US" w:eastAsia="zh-CN"/>
        </w:rPr>
        <w:t>PostgreSQL数据库</w:t>
      </w:r>
      <w:r>
        <w:rPr>
          <w:rFonts w:hint="eastAsia"/>
          <w:lang w:val="en-US" w:eastAsia="zh-CN"/>
        </w:rPr>
        <w:t>，使用 postgresql-10.13-1-windows 版本。</w:t>
      </w:r>
    </w:p>
    <w:p w14:paraId="0A701D16">
      <w:pPr>
        <w:pStyle w:val="5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</w:p>
    <w:p w14:paraId="2E56AF18">
      <w:pPr>
        <w:pStyle w:val="4"/>
        <w:numPr>
          <w:ilvl w:val="2"/>
          <w:numId w:val="1"/>
        </w:numPr>
        <w:bidi w:val="0"/>
        <w:ind w:left="709" w:leftChars="0" w:hanging="709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创建数据库</w:t>
      </w:r>
    </w:p>
    <w:p w14:paraId="351D707A">
      <w:pPr>
        <w:rPr>
          <w:rFonts w:hint="eastAsia" w:eastAsia="新宋体"/>
          <w:lang w:val="en-US" w:eastAsia="zh-CN"/>
        </w:rPr>
      </w:pPr>
      <w:r>
        <w:rPr>
          <w:rFonts w:hint="eastAsia"/>
          <w:lang w:val="en-US" w:eastAsia="zh-CN"/>
        </w:rPr>
        <w:t>安装完毕后创建数据库，名称为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>SL.MLineDataCollction</w:t>
      </w:r>
      <w:r>
        <w:rPr>
          <w:rFonts w:hint="eastAsia" w:ascii="新宋体" w:hAnsi="新宋体" w:eastAsia="新宋体" w:cs="新宋体"/>
          <w:color w:val="0000FF"/>
          <w:sz w:val="18"/>
          <w:szCs w:val="18"/>
          <w:lang w:eastAsia="zh-CN"/>
        </w:rPr>
        <w:t>。</w:t>
      </w:r>
    </w:p>
    <w:p w14:paraId="4A00A652">
      <w:pPr>
        <w:pStyle w:val="4"/>
        <w:numPr>
          <w:ilvl w:val="2"/>
          <w:numId w:val="1"/>
        </w:numPr>
        <w:bidi w:val="0"/>
        <w:ind w:left="709" w:leftChars="0" w:hanging="709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连接信息</w:t>
      </w:r>
    </w:p>
    <w:p w14:paraId="0EDC35F7">
      <w:pPr>
        <w:rPr>
          <w:rFonts w:hint="eastAsia" w:eastAsiaTheme="minorEastAsia"/>
          <w:lang w:eastAsia="zh-CN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 xml:space="preserve">使用默认端口与用户名，数据库连接密码默认为123456。  </w:t>
      </w:r>
    </w:p>
    <w:p w14:paraId="0074369A">
      <w:pP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 xml:space="preserve">连接信息如下：  </w:t>
      </w:r>
    </w:p>
    <w:p w14:paraId="4CD27F64">
      <w:pPr>
        <w:pStyle w:val="5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eastAsia" w:ascii="新宋体" w:hAnsi="新宋体" w:eastAsia="新宋体" w:cs="新宋体"/>
          <w:color w:val="0000FF"/>
          <w:sz w:val="18"/>
          <w:szCs w:val="18"/>
        </w:rPr>
        <w:t>&lt;</w:t>
      </w:r>
      <w:r>
        <w:rPr>
          <w:rFonts w:hint="eastAsia" w:ascii="新宋体" w:hAnsi="新宋体" w:eastAsia="新宋体" w:cs="新宋体"/>
          <w:color w:val="A31515"/>
          <w:sz w:val="18"/>
          <w:szCs w:val="18"/>
        </w:rPr>
        <w:t>add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 xml:space="preserve"> </w:t>
      </w:r>
      <w:r>
        <w:rPr>
          <w:rFonts w:hint="eastAsia" w:ascii="新宋体" w:hAnsi="新宋体" w:eastAsia="新宋体" w:cs="新宋体"/>
          <w:color w:val="FF0000"/>
          <w:sz w:val="18"/>
          <w:szCs w:val="18"/>
        </w:rPr>
        <w:t>name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>=</w:t>
      </w:r>
      <w:r>
        <w:rPr>
          <w:rFonts w:hint="eastAsia" w:ascii="新宋体" w:hAnsi="新宋体" w:eastAsia="新宋体" w:cs="新宋体"/>
          <w:color w:val="000000"/>
          <w:sz w:val="18"/>
          <w:szCs w:val="18"/>
        </w:rPr>
        <w:t>"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>DefaultConnection</w:t>
      </w:r>
      <w:r>
        <w:rPr>
          <w:rFonts w:hint="eastAsia" w:ascii="新宋体" w:hAnsi="新宋体" w:eastAsia="新宋体" w:cs="新宋体"/>
          <w:color w:val="000000"/>
          <w:sz w:val="18"/>
          <w:szCs w:val="18"/>
        </w:rPr>
        <w:t>"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 xml:space="preserve"> </w:t>
      </w:r>
      <w:r>
        <w:rPr>
          <w:rFonts w:hint="eastAsia" w:ascii="新宋体" w:hAnsi="新宋体" w:eastAsia="新宋体" w:cs="新宋体"/>
          <w:color w:val="FF0000"/>
          <w:sz w:val="18"/>
          <w:szCs w:val="18"/>
        </w:rPr>
        <w:t>connectionString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>=</w:t>
      </w:r>
      <w:r>
        <w:rPr>
          <w:rFonts w:hint="eastAsia" w:ascii="新宋体" w:hAnsi="新宋体" w:eastAsia="新宋体" w:cs="新宋体"/>
          <w:color w:val="000000"/>
          <w:sz w:val="18"/>
          <w:szCs w:val="18"/>
        </w:rPr>
        <w:t>"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>PORT=5432;DATABASE=SL.MLineDataCollction;HOST=127.0.0.1;PASSWORD=123</w:t>
      </w:r>
      <w:r>
        <w:rPr>
          <w:rFonts w:hint="eastAsia" w:ascii="新宋体" w:hAnsi="新宋体" w:eastAsia="新宋体" w:cs="新宋体"/>
          <w:color w:val="0000FF"/>
          <w:sz w:val="18"/>
          <w:szCs w:val="18"/>
          <w:lang w:val="en-US" w:eastAsia="zh-CN"/>
        </w:rPr>
        <w:t>456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>;USER ID=postgres</w:t>
      </w:r>
      <w:r>
        <w:rPr>
          <w:rFonts w:hint="eastAsia" w:ascii="新宋体" w:hAnsi="新宋体" w:eastAsia="新宋体" w:cs="新宋体"/>
          <w:color w:val="000000"/>
          <w:sz w:val="18"/>
          <w:szCs w:val="18"/>
        </w:rPr>
        <w:t>"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 xml:space="preserve"> /&gt;</w:t>
      </w:r>
    </w:p>
    <w:p w14:paraId="3910E272"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软件</w:t>
      </w:r>
    </w:p>
    <w:p w14:paraId="1D246BB8">
      <w:pPr>
        <w:pStyle w:val="3"/>
        <w:numPr>
          <w:ilvl w:val="1"/>
          <w:numId w:val="1"/>
        </w:numPr>
        <w:bidi w:val="0"/>
        <w:ind w:left="567" w:leftChars="0" w:hanging="567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打包</w:t>
      </w:r>
    </w:p>
    <w:p w14:paraId="57710391">
      <w:pPr>
        <w:numPr>
          <w:ilvl w:val="0"/>
          <w:numId w:val="2"/>
        </w:numPr>
        <w:ind w:left="425" w:leftChars="0" w:hanging="425" w:firstLineChars="0"/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Release 模式下生成文件。</w:t>
      </w:r>
    </w:p>
    <w:p w14:paraId="553E9016">
      <w:pPr>
        <w:numPr>
          <w:ilvl w:val="0"/>
          <w:numId w:val="0"/>
        </w:numPr>
        <w:ind w:leftChars="0"/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drawing>
          <wp:inline distT="0" distB="0" distL="114300" distR="114300">
            <wp:extent cx="2562225" cy="323850"/>
            <wp:effectExtent l="0" t="0" r="9525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562225" cy="323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8A7F42">
      <w:pPr>
        <w:numPr>
          <w:ilvl w:val="0"/>
          <w:numId w:val="0"/>
        </w:numPr>
        <w:ind w:leftChars="0"/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  <w:bookmarkStart w:id="0" w:name="_GoBack"/>
      <w:bookmarkEnd w:id="0"/>
    </w:p>
    <w:p w14:paraId="2A774258">
      <w:pPr>
        <w:numPr>
          <w:ilvl w:val="0"/>
          <w:numId w:val="2"/>
        </w:numPr>
        <w:ind w:left="425" w:leftChars="0" w:hanging="425" w:firstLineChars="0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创建 sl-datacollection 文件夹，将 SL.MLineDataPrecisionTracking.Client 放置在 sl-datacollection 的 client 文件夹下，将 SL.MLineDataPrecisionTracking.Service 放置在 service 文件夹下。</w:t>
      </w:r>
    </w:p>
    <w:p w14:paraId="3843AECF">
      <w:pPr>
        <w:pStyle w:val="5"/>
        <w:keepNext w:val="0"/>
        <w:keepLines w:val="0"/>
        <w:widowControl/>
        <w:suppressLineNumbers w:val="0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</w:p>
    <w:p w14:paraId="370F073C">
      <w:pPr>
        <w:pStyle w:val="5"/>
        <w:keepNext w:val="0"/>
        <w:keepLines w:val="0"/>
        <w:widowControl/>
        <w:numPr>
          <w:ilvl w:val="0"/>
          <w:numId w:val="2"/>
        </w:numPr>
        <w:suppressLineNumbers w:val="0"/>
        <w:ind w:left="425" w:leftChars="0" w:hanging="425" w:firstLineChars="0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修改client文件夹下的SL.MLineDataPrecisionTracking.Client.exe.config文件中的SoftwareName和ServiceUri配置项。其中，SoftwareName为软件名称，ServiceUri为后台端口，默认值为http://localhost:59088。</w:t>
      </w:r>
    </w:p>
    <w:p w14:paraId="1E2710B8">
      <w:pPr>
        <w:numPr>
          <w:ilvl w:val="0"/>
          <w:numId w:val="0"/>
        </w:numPr>
        <w:ind w:leftChars="0"/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</w:p>
    <w:p w14:paraId="373FC9B3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4667250" cy="771525"/>
            <wp:effectExtent l="0" t="0" r="0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67250" cy="77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AF7389">
      <w:pPr>
        <w:numPr>
          <w:ilvl w:val="0"/>
          <w:numId w:val="0"/>
        </w:numPr>
        <w:ind w:leftChars="0"/>
      </w:pPr>
    </w:p>
    <w:p w14:paraId="04F06ECD">
      <w:pPr>
        <w:pStyle w:val="5"/>
        <w:keepNext w:val="0"/>
        <w:keepLines w:val="0"/>
        <w:widowControl/>
        <w:numPr>
          <w:ilvl w:val="0"/>
          <w:numId w:val="2"/>
        </w:numPr>
        <w:suppressLineNumbers w:val="0"/>
        <w:ind w:left="425" w:leftChars="0" w:hanging="425" w:firstLineChars="0"/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修改service文件夹下的SL.MLineDataPrecisionTracking.Service.exe.config文件中的DefaultConnection、IsCreateTable和ServiceUri配置项。其中，DefaultConnection为数据库连接信息，IsCreateTable为是否创库选项，ServiceUri为后台端口，默认值为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fldChar w:fldCharType="begin"/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instrText xml:space="preserve"> HYPERLINK "http://localhost:59088。" </w:instrTex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fldChar w:fldCharType="separate"/>
      </w:r>
      <w:r>
        <w:rPr>
          <w:rStyle w:val="8"/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http://localhost:59088。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fldChar w:fldCharType="end"/>
      </w:r>
    </w:p>
    <w:p w14:paraId="2575C404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/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</w:p>
    <w:p w14:paraId="2DA06C9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drawing>
          <wp:inline distT="0" distB="0" distL="114300" distR="114300">
            <wp:extent cx="5272405" cy="695960"/>
            <wp:effectExtent l="0" t="0" r="4445" b="889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695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A56BD0"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部署</w:t>
      </w:r>
    </w:p>
    <w:p w14:paraId="3E830729">
      <w:pPr>
        <w:numPr>
          <w:ilvl w:val="0"/>
          <w:numId w:val="3"/>
        </w:numPr>
        <w:ind w:left="425" w:leftChars="0" w:hanging="425" w:firstLineChars="0"/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将文件拷贝到目标电脑上，默认软件在D盘部署。</w:t>
      </w:r>
    </w:p>
    <w:p w14:paraId="5DBBB023">
      <w:pPr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打开 service 文件夹 ，右键管理员启动 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InstallUtil.bat 文件安装服务程序。</w:t>
      </w:r>
    </w:p>
    <w:p w14:paraId="78A9FEE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安装完成后需在服务里检测是否安装成功。</w:t>
      </w:r>
    </w:p>
    <w:p w14:paraId="1611E795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386F37DD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4140835" cy="1475740"/>
            <wp:effectExtent l="0" t="0" r="12065" b="10160"/>
            <wp:docPr id="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40835" cy="1475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8CB907">
      <w:pPr>
        <w:numPr>
          <w:ilvl w:val="0"/>
          <w:numId w:val="3"/>
        </w:numPr>
        <w:ind w:left="425" w:leftChars="0" w:hanging="425" w:firstLineChars="0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检测服务状态是否为 自动 正在运行。</w:t>
      </w:r>
    </w:p>
    <w:p w14:paraId="5B62E86A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2313305" cy="2962910"/>
            <wp:effectExtent l="0" t="0" r="10795" b="8890"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13305" cy="296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58B512">
      <w:pPr>
        <w:numPr>
          <w:ilvl w:val="0"/>
          <w:numId w:val="3"/>
        </w:numPr>
        <w:ind w:left="425" w:leftChars="0" w:hanging="425" w:firstLineChars="0"/>
        <w:rPr>
          <w:rFonts w:hint="default" w:eastAsiaTheme="minorEastAsia"/>
          <w:lang w:val="en-US" w:eastAsia="zh-CN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点</w:t>
      </w:r>
      <w:r>
        <w:rPr>
          <w:rFonts w:hint="eastAsia"/>
          <w:lang w:val="en-US" w:eastAsia="zh-CN"/>
        </w:rPr>
        <w:t>击服务恢复项，将1、2、3、4、5按下图所示配置，后点击确认按钮。</w:t>
      </w:r>
    </w:p>
    <w:p w14:paraId="4897BB57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1852930" cy="2347595"/>
            <wp:effectExtent l="0" t="0" r="13970" b="14605"/>
            <wp:docPr id="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52930" cy="2347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BD7826">
      <w:pPr>
        <w:numPr>
          <w:ilvl w:val="0"/>
          <w:numId w:val="3"/>
        </w:numPr>
        <w:ind w:left="425" w:leftChars="0" w:hanging="425" w:firstLineChars="0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为SL.MLineDataPrecisionTracking.Service.exe 创建快捷方式，并根据软件重命名。</w:t>
      </w:r>
    </w:p>
    <w:p w14:paraId="4E9F2765">
      <w:pPr>
        <w:numPr>
          <w:ilvl w:val="0"/>
          <w:numId w:val="3"/>
        </w:numPr>
        <w:ind w:left="425" w:leftChars="0" w:hanging="425" w:firstLineChars="0"/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将快捷方式 放在桌面和 win 启动文件夹（用于开机启动）各一份。，win 启动文件夹 不同系统不一样，以 win 10 为列：按</w:t>
      </w: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t> 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Win + R</w:t>
      </w: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t>，输入 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shell:Common startup。</w:t>
      </w:r>
    </w:p>
    <w:p w14:paraId="394C6449">
      <w:pPr>
        <w:widowControl w:val="0"/>
        <w:numPr>
          <w:ilvl w:val="0"/>
          <w:numId w:val="0"/>
        </w:numPr>
        <w:jc w:val="both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</w:p>
    <w:p w14:paraId="202A309E"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软件配置</w:t>
      </w:r>
    </w:p>
    <w:p w14:paraId="3163308E">
      <w:pPr>
        <w:numPr>
          <w:ilvl w:val="0"/>
          <w:numId w:val="4"/>
        </w:numPr>
        <w:ind w:left="425" w:leftChars="0" w:hanging="425" w:firstLineChars="0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在客户端设置界面将doc对应的点位信息导入即可。</w:t>
      </w:r>
    </w:p>
    <w:p w14:paraId="0A9437A7">
      <w:pPr>
        <w:numPr>
          <w:ilvl w:val="0"/>
          <w:numId w:val="4"/>
        </w:numPr>
        <w:ind w:left="425" w:leftChars="0" w:hanging="425" w:firstLineChars="0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如果是装配线启用 ab即可，禁用热处理。热处理亦然。如启用的服务为在运行中点击启动启用服务。</w:t>
      </w:r>
    </w:p>
    <w:p w14:paraId="4167BE03">
      <w:pPr>
        <w:numPr>
          <w:ilvl w:val="0"/>
          <w:numId w:val="4"/>
        </w:numPr>
        <w:ind w:left="425" w:leftChars="0" w:hanging="425" w:firstLineChars="0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重启客户端即可展示对应的信息。</w:t>
      </w:r>
    </w:p>
    <w:p w14:paraId="77F7BC5E">
      <w:pPr>
        <w:numPr>
          <w:ilvl w:val="0"/>
          <w:numId w:val="0"/>
        </w:numPr>
        <w:ind w:leftChars="0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drawing>
          <wp:inline distT="0" distB="0" distL="114300" distR="114300">
            <wp:extent cx="5268595" cy="1546860"/>
            <wp:effectExtent l="0" t="0" r="8255" b="15240"/>
            <wp:docPr id="9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546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D85D68">
      <w:pPr>
        <w:rPr>
          <w:rFonts w:hint="default"/>
          <w:lang w:val="en-US" w:eastAsia="zh-CN"/>
        </w:rPr>
      </w:pPr>
    </w:p>
    <w:p w14:paraId="4EC26A15">
      <w:pPr>
        <w:pStyle w:val="3"/>
        <w:numPr>
          <w:ilvl w:val="1"/>
          <w:numId w:val="1"/>
        </w:numPr>
        <w:bidi w:val="0"/>
        <w:ind w:left="567" w:leftChars="0" w:hanging="567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装配线</w:t>
      </w:r>
    </w:p>
    <w:p w14:paraId="514702CB">
      <w:pPr>
        <w:numPr>
          <w:ilvl w:val="0"/>
          <w:numId w:val="5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在设置界面点击导入</w:t>
      </w:r>
    </w:p>
    <w:p w14:paraId="5CBA8E76">
      <w:r>
        <w:drawing>
          <wp:inline distT="0" distB="0" distL="114300" distR="114300">
            <wp:extent cx="5272405" cy="1870075"/>
            <wp:effectExtent l="0" t="0" r="4445" b="1587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870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DE9070">
      <w:pPr>
        <w:numPr>
          <w:ilvl w:val="0"/>
          <w:numId w:val="5"/>
        </w:numPr>
        <w:ind w:left="425" w:leftChars="0" w:hanging="425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选择 6-3#装配线的点位信息</w:t>
      </w:r>
    </w:p>
    <w:p w14:paraId="42884D6E">
      <w:r>
        <w:drawing>
          <wp:inline distT="0" distB="0" distL="114300" distR="114300">
            <wp:extent cx="5057775" cy="1181100"/>
            <wp:effectExtent l="0" t="0" r="9525" b="0"/>
            <wp:docPr id="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57775" cy="118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AA82DF">
      <w:pPr>
        <w:numPr>
          <w:ilvl w:val="0"/>
          <w:numId w:val="5"/>
        </w:numPr>
        <w:ind w:left="425" w:leftChars="0" w:hanging="425" w:firstLineChars="0"/>
        <w:rPr>
          <w:rFonts w:hint="eastAsia" w:eastAsiaTheme="minorEastAsia"/>
          <w:lang w:eastAsia="zh-CN"/>
        </w:rPr>
      </w:pPr>
      <w:r>
        <w:rPr>
          <w:rFonts w:hint="eastAsia"/>
          <w:lang w:val="en-US" w:eastAsia="zh-CN"/>
        </w:rPr>
        <w:t>点击设置刷新状态，启用AB线采集服务，同时禁用热处理。若AB线采集服务启用后处于已停止状态，需点击启动以开启采集服务。</w:t>
      </w:r>
    </w:p>
    <w:p w14:paraId="6B1585AC">
      <w:r>
        <w:drawing>
          <wp:inline distT="0" distB="0" distL="114300" distR="114300">
            <wp:extent cx="5269865" cy="1748790"/>
            <wp:effectExtent l="0" t="0" r="6985" b="3810"/>
            <wp:docPr id="1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3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748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5ACA3E"/>
    <w:p w14:paraId="49562CCE"/>
    <w:p w14:paraId="5712760B"/>
    <w:p w14:paraId="503B905A">
      <w:pPr>
        <w:numPr>
          <w:ilvl w:val="0"/>
          <w:numId w:val="5"/>
        </w:numPr>
        <w:ind w:left="425" w:leftChars="0" w:hanging="425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在数据库配置对应模型的编号。</w:t>
      </w:r>
    </w:p>
    <w:p w14:paraId="65B93E6B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9230" cy="1828165"/>
            <wp:effectExtent l="0" t="0" r="7620" b="635"/>
            <wp:docPr id="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7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828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1AE542">
      <w:pPr>
        <w:pStyle w:val="3"/>
        <w:numPr>
          <w:ilvl w:val="1"/>
          <w:numId w:val="1"/>
        </w:numPr>
        <w:bidi w:val="0"/>
        <w:ind w:left="567" w:leftChars="0" w:hanging="567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热处理</w:t>
      </w:r>
    </w:p>
    <w:p w14:paraId="0DB40E70">
      <w:pPr>
        <w:numPr>
          <w:ilvl w:val="0"/>
          <w:numId w:val="6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在设置界面点击导入</w:t>
      </w:r>
    </w:p>
    <w:p w14:paraId="6895D1F3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72405" cy="1870075"/>
            <wp:effectExtent l="0" t="0" r="4445" b="15875"/>
            <wp:docPr id="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870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DABD70">
      <w:pPr>
        <w:numPr>
          <w:ilvl w:val="0"/>
          <w:numId w:val="6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导入文件根据项目选择对应的点位。</w:t>
      </w:r>
    </w:p>
    <w:p w14:paraId="4EFF3426">
      <w:r>
        <w:drawing>
          <wp:inline distT="0" distB="0" distL="114300" distR="114300">
            <wp:extent cx="5029200" cy="1371600"/>
            <wp:effectExtent l="0" t="0" r="0" b="0"/>
            <wp:docPr id="1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37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E0E7CA">
      <w:pPr>
        <w:numPr>
          <w:ilvl w:val="0"/>
          <w:numId w:val="5"/>
        </w:numPr>
        <w:ind w:left="425" w:leftChars="0" w:hanging="425" w:firstLineChars="0"/>
        <w:rPr>
          <w:rFonts w:hint="eastAsia" w:eastAsiaTheme="minorEastAsia"/>
          <w:lang w:eastAsia="zh-CN"/>
        </w:rPr>
      </w:pPr>
      <w:r>
        <w:rPr>
          <w:rFonts w:hint="eastAsia"/>
          <w:lang w:val="en-US" w:eastAsia="zh-CN"/>
        </w:rPr>
        <w:t>点击设置刷新状态，禁用AB线采集服务，同时启用热处理。若热处理采集服务启用后处于已停止状态，需点击启动以开启采集服务。</w:t>
      </w:r>
    </w:p>
    <w:p w14:paraId="0FF9C791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71770" cy="1445895"/>
            <wp:effectExtent l="0" t="0" r="5080" b="1905"/>
            <wp:docPr id="14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445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F5479F"/>
    <w:p w14:paraId="19904BD4"/>
    <w:p w14:paraId="491D3C09">
      <w:pPr>
        <w:rPr>
          <w:rFonts w:hint="eastAsia"/>
          <w:lang w:val="en-US" w:eastAsia="zh-CN"/>
        </w:rPr>
      </w:pPr>
    </w:p>
    <w:p w14:paraId="516EB3BF">
      <w:pPr>
        <w:rPr>
          <w:rFonts w:hint="eastAsia"/>
          <w:lang w:val="en-US" w:eastAsia="zh-CN"/>
        </w:rPr>
      </w:pPr>
    </w:p>
    <w:p w14:paraId="28EA1117">
      <w:pPr>
        <w:rPr>
          <w:rFonts w:hint="default"/>
          <w:lang w:val="en-US" w:eastAsia="zh-CN"/>
        </w:rPr>
      </w:pPr>
    </w:p>
    <w:p w14:paraId="2EACA3E2">
      <w:pPr>
        <w:rPr>
          <w:rFonts w:hint="eastAsia"/>
          <w:lang w:val="en-US" w:eastAsia="zh-CN"/>
        </w:rPr>
      </w:pPr>
    </w:p>
    <w:p w14:paraId="2F3E56BF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新宋体">
    <w:panose1 w:val="02010609030101010101"/>
    <w:charset w:val="86"/>
    <w:family w:val="auto"/>
    <w:pitch w:val="default"/>
    <w:sig w:usb0="00000203" w:usb1="288F0000" w:usb2="00000006" w:usb3="00000000" w:csb0="0004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B3ABAC1"/>
    <w:multiLevelType w:val="singleLevel"/>
    <w:tmpl w:val="8B3ABAC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9A805B82"/>
    <w:multiLevelType w:val="singleLevel"/>
    <w:tmpl w:val="9A805B8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1651F4DB"/>
    <w:multiLevelType w:val="multilevel"/>
    <w:tmpl w:val="1651F4D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abstractNum w:abstractNumId="3">
    <w:nsid w:val="4B5523F5"/>
    <w:multiLevelType w:val="singleLevel"/>
    <w:tmpl w:val="4B5523F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69727702"/>
    <w:multiLevelType w:val="singleLevel"/>
    <w:tmpl w:val="6972770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7356D24B"/>
    <w:multiLevelType w:val="singleLevel"/>
    <w:tmpl w:val="7356D24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  <w:num w:numId="5">
    <w:abstractNumId w:val="5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4567D1D"/>
    <w:rsid w:val="06331D89"/>
    <w:rsid w:val="0C7D2D9F"/>
    <w:rsid w:val="19E66D95"/>
    <w:rsid w:val="1D8B55E5"/>
    <w:rsid w:val="25AC5565"/>
    <w:rsid w:val="31A34B33"/>
    <w:rsid w:val="329F4801"/>
    <w:rsid w:val="438E3B1C"/>
    <w:rsid w:val="43C94288"/>
    <w:rsid w:val="460129A5"/>
    <w:rsid w:val="4CEF75E7"/>
    <w:rsid w:val="4EFC41A1"/>
    <w:rsid w:val="52AA0361"/>
    <w:rsid w:val="595816FC"/>
    <w:rsid w:val="63D7141F"/>
    <w:rsid w:val="66651C80"/>
    <w:rsid w:val="70A41554"/>
    <w:rsid w:val="7D2563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7">
    <w:name w:val="Default Paragraph Font"/>
    <w:semiHidden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character" w:styleId="8">
    <w:name w:val="Hyperlink"/>
    <w:basedOn w:val="7"/>
    <w:qFormat/>
    <w:uiPriority w:val="0"/>
    <w:rPr>
      <w:color w:val="0000FF"/>
      <w:u w:val="single"/>
    </w:rPr>
  </w:style>
  <w:style w:type="character" w:styleId="9">
    <w:name w:val="HTML Code"/>
    <w:basedOn w:val="7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numbering" Target="numbering.xml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789</Words>
  <Characters>1568</Characters>
  <Lines>0</Lines>
  <Paragraphs>0</Paragraphs>
  <TotalTime>68</TotalTime>
  <ScaleCrop>false</ScaleCrop>
  <LinksUpToDate>false</LinksUpToDate>
  <CharactersWithSpaces>1630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2026-04-20T00:52:00Z</dcterms:created>
  <dc:creator>C2300040802</dc:creator>
  <cp:lastModifiedBy>       </cp:lastModifiedBy>
  <dcterms:modified xsi:type="dcterms:W3CDTF">2026-06-08T06:16:21Z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eyJoZGlkIjoiY2E5ZGVlMjUyNzEwNDY1YjBhMGE0NjhiM2U4MDMzOWYiLCJ1c2VySWQiOiIyMTYwODA0NTcifQ==</vt:lpwstr>
  </property>
  <property fmtid="{D5CDD505-2E9C-101B-9397-08002B2CF9AE}" pid="4" name="ICV">
    <vt:lpwstr>3EC0EC6D7AB4432CB926FB0C60F5FD85_12</vt:lpwstr>
  </property>
</Properties>
</file>