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0" w:lineRule="auto"/>
        <w:ind w:left="-360" w:right="-360" w:firstLine="0"/>
        <w:jc w:val="center"/>
        <w:rPr>
          <w:rFonts w:ascii="Arial" w:cs="Arial" w:eastAsia="Arial" w:hAnsi="Arial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rFonts w:ascii="Arial" w:cs="Arial" w:eastAsia="Arial" w:hAnsi="Arial"/>
          <w:color w:val="34a853"/>
        </w:rPr>
      </w:pPr>
      <w:bookmarkStart w:colFirst="0" w:colLast="0" w:name="_rygp9hgb9tyc" w:id="0"/>
      <w:bookmarkEnd w:id="0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rFonts w:ascii="Arial" w:cs="Arial" w:eastAsia="Arial" w:hAnsi="Arial"/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July 21st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/ 10:00 AM / CONFERENCE ROOM</w:t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d7c6siica7vj" w:id="2"/>
      <w:bookmarkEnd w:id="2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Attendees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Financial Analyst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Fulfillment Director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Human Resources Specialist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Quality Assurance Tester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Customer Service Manager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IT Specialist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Inventory Manager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Training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Purpose and Expectations</w:t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Meet to discuss customer survey insights, share feedback and discuss proposed next steps.</w:t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color w:val="34a8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cllctxd68p6" w:id="3"/>
      <w:bookmarkEnd w:id="3"/>
      <w:r w:rsidDel="00000000" w:rsidR="00000000" w:rsidRPr="00000000">
        <w:rPr>
          <w:rFonts w:ascii="Arial" w:cs="Arial" w:eastAsia="Arial" w:hAnsi="Arial"/>
          <w:b w:val="0"/>
          <w:color w:val="666666"/>
          <w:sz w:val="22"/>
          <w:szCs w:val="22"/>
          <w:rtl w:val="0"/>
        </w:rPr>
        <w:t xml:space="preserve">On-time deliveries rose from 80% to 90% by the end of the survey—a solid improvement, but still short of our 95%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Customers overwhelmingly prefer deliveries before normal business hours and early in the day.</w:t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Many respondents found the guides and tutorials helpful. A number of customers volunteered that a live chat option would further improve customer support. </w:t>
      </w:r>
    </w:p>
    <w:p w:rsidR="00000000" w:rsidDel="00000000" w:rsidP="00000000" w:rsidRDefault="00000000" w:rsidRPr="00000000" w14:paraId="00000016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v28k6emdbgnv" w:id="4"/>
      <w:bookmarkEnd w:id="4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pqv95n650218" w:id="5"/>
      <w:bookmarkEnd w:id="5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360" w:top="1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D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6"/>
          <w:bookmarkEnd w:id="6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7"/>
          <w:bookmarkEnd w:id="7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ind w:left="-360" w:right="-360" w:firstLine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color w:val="3369e8"/>
        <w:sz w:val="40"/>
        <w:szCs w:val="40"/>
      </w:rPr>
      <w:drawing>
        <wp:inline distB="114300" distT="114300" distL="114300" distR="114300">
          <wp:extent cx="1651422" cy="12620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3906" r="0" t="0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