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48"/>
        </w:rPr>
        <w:t>Auditing Partition Leakage and Shortcut Learning in Medical Imaging Benchmarks: A Systematic Multi-Modal Evaluation and Clinical Tele-Triage Case Study</w:t>
      </w:r>
    </w:p>
    <w:p>
      <w:pPr>
        <w:spacing w:before="40" w:after="0" w:line="240" w:lineRule="auto"/>
        <w:ind w:firstLine="0"/>
        <w:jc w:val="center"/>
      </w:pPr>
      <w:r>
        <w:rPr>
          <w:rFonts w:ascii="Times New Roman" w:hAnsi="Times New Roman"/>
          <w:sz w:val="22"/>
        </w:rPr>
        <w:t>Daksh Gurjar, Aditya Yashovardhan, and Jayesh Mandloi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/>
          <w:i/>
          <w:sz w:val="18"/>
        </w:rPr>
        <w:t>Department of Computer Engineering, Mukesh Patel School of Technology Management &amp; Engineering (MPSTME), SVKM’s NMIMS, Shirpur 425405, Maharashtra, India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/>
          <w:sz w:val="18"/>
        </w:rPr>
        <w:t>Email: {daksh.gurjar, aditya.yashovardhan, jayesh.mandloi}@nmims.edu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/>
          <w:b/>
          <w:sz w:val="18"/>
        </w:rPr>
        <w:t>Abstract—</w:t>
      </w:r>
      <w:r>
        <w:rPr>
          <w:rFonts w:ascii="Times New Roman" w:hAnsi="Times New Roman"/>
          <w:b w:val="0"/>
          <w:i w:val="0"/>
          <w:sz w:val="18"/>
        </w:rPr>
        <w:t>Public medical-imaging benchmarks underpin hundreds of computer-aided-diagnosis papers, yet standard evaluation protocols frequently overlook cross-split contamination and anatomical shortcut learning. We audit three widely used clinical benchmarks—brain MRI for intracranial neoplasms, pediatric chest radiography (CXR) for pneumonia, and white-light endoscopy for mucosal inflammation—with a compact 14.91M-parameter multi-scale baseline (DualPathNet). A two-level audit combining raw-byte SHA-256 and pixel-exact matching with a content-cropped 256-bit perceptual descriptor shows that a naive 64-bit dHash criterion is dominated by uniform backgrounds and collimator borders, flagging up to 74.1% of brain-MRI test scans and 95.9% of CXR test scans as near-duplicates; the corrected descriptor instead flags 11.8% of brain-MRI test scans, 0.0% of CXR test scans, and 0.4% of endoscopy frames as cross-split near-duplicates (98 brain-MRI test scans are pixel-exact copies of training scans). Retraining on de-duplicated splits yields a modest, honest accuracy change, and freezing the original model on the clean brain-MRI test set (N = 1,412) gives 94.48% accuracy (vs. 95.00% on the contaminated 1,600-scan split). Same-organ negative controls expose an anatomical shortcut: a standard GastroNet misclassifies normal esophageal Z-line as lesion with 3.76% specificity; adding site-matched negatives on a verifiably disjoint Z-line half restores held-out specificity to 81.42% while keeping 94.07% lesion sensitivity. Zero-shot external evaluation (RSNA Pneumonia 84.60%, BraTS 2020 87.25%, Kvasir-Capsule 83.33%) shows substantial but expected out-of-distribution decline. We release the audit toolkit and clean split manifests.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b/>
          <w:sz w:val="18"/>
        </w:rPr>
        <w:t>Index Terms—</w:t>
      </w:r>
      <w:r>
        <w:rPr>
          <w:rFonts w:ascii="Times New Roman" w:hAnsi="Times New Roman"/>
          <w:b w:val="0"/>
          <w:i w:val="0"/>
          <w:sz w:val="18"/>
        </w:rPr>
        <w:t>Computer-aided diagnosis, multiscale convolutional neural networks, explainable AI (XAI), Grad-CAM, pediatric pneumonia, brain neoplasms, mucosal lesions, data leakage, shortcut learning, medical triage.</w:t>
      </w:r>
    </w:p>
    <w:p>
      <w:pPr>
        <w:sectPr>
          <w:pgSz w:w="12240" w:h="15840"/>
          <w:pgMar w:top="1080" w:right="900" w:bottom="1440" w:left="900" w:header="720" w:footer="720" w:gutter="0"/>
          <w:docGrid w:linePitch="360"/>
          <w:cols w:num="1" w:space="360" w:equalWidth="1"/>
        </w:sectPr>
      </w:pPr>
    </w:p>
    <w:p>
      <w:pPr>
        <w:keepNext/>
        <w:spacing w:before="200" w:after="80" w:line="240" w:lineRule="auto"/>
        <w:ind w:firstLine="0"/>
        <w:jc w:val="center"/>
      </w:pPr>
      <w:r>
        <w:rPr>
          <w:rFonts w:ascii="Times New Roman" w:hAnsi="Times New Roman"/>
          <w:b w:val="0"/>
          <w:smallCaps/>
          <w:sz w:val="20"/>
        </w:rPr>
        <w:t>I. INTRODUCTION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Diagnostic imaging—magnetic resonance imaging (MRI), planar chest radiography (CXR), and white-light flexible endoscopy—constitutes the bedrock of modern diagnosis, oncology staging, and acute emergency triage [1]–[3]. The volume of acquired scans vastly outpaces specialist interpretive capacity [4]–[6], a deficit that is acute in rural and tier-2/3 Indian districts where the patient-to-radiologist ratio remains far below WHO norms [1], [5], [7]. Under such constraints, timely detection of pediatric bacterial pneumonia [1], [8], aggressive gliomas [2], [4], and acute mucosal ulceration [3], [9] is frequently delayed.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Although deep convolutional networks report strong benchmark accuracy [10]–[12], several systemic gaps hinder frontline translation: single-disease fragmentation (G1), black-box opacity (G2), geographic and demographic data misalignment (G3), monolingual reporting (G4), absent longitudinal tracking (G5), unstructured delivery (G6), overconfident 0.50 argmax thresholds (G7), and lack of web-native low-latency deployment (G8). This paper targets the data-integrity root of G2–G3: we quantify how cross-split leakage and anatomical shortcut learning inflate reported accuracy, and we provide a leakage-aware evaluation protocol.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Using DualPathNet (14.91M parameters; parallel 3×3 and 5×5 residual streams with CBAM attention) as the empirical case study, our contributions are: (1) a systematic multi-modal leakage audit showing that a corrected perceptual descriptor flags 11.8% of brain-MRI test scans, 0.0% of CXR test scans, and 0.4% of endoscopy frames as cross-split near-duplicates; (2) clean-split retraining and threshold re-selection that isolates duplicate memorization from true generalization; (3) diagnosis and remediation of an anatomical shortcut, where site-matched negative regularization restores esophageal-Z-line specificity from 3.76% to 81.42% on a disjoint control half; and (4) zero-shot external validation on three out-of-distribution cohorts with explicit label mapping and domain mismatch. We release manifests and the audit toolkit [github.com/Aditya-Yashovardhan/MediScan].</w:t>
      </w:r>
    </w:p>
    <w:p>
      <w:pPr>
        <w:keepNext/>
        <w:spacing w:before="200" w:after="80" w:line="240" w:lineRule="auto"/>
        <w:ind w:firstLine="0"/>
        <w:jc w:val="center"/>
      </w:pPr>
      <w:r>
        <w:rPr>
          <w:rFonts w:ascii="Times New Roman" w:hAnsi="Times New Roman"/>
          <w:b w:val="0"/>
          <w:smallCaps/>
          <w:sz w:val="20"/>
        </w:rPr>
        <w:t>II. RELATED WORK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A. Brain Tumor Classification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Deep models for brain MRI classification have favored transfer learning with ResNet, VGG, Inception, and EfficientNet backbones [2], [4], [11], [20], [24]. Concatenated multi-level features distinguish meningioma from glioma [4]; residual and ensemble pipelines report 94–97% accuracy [25], [30], [34]. Few works audit the slice-level splits they train on, which is the gap this paper addresses.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B. Pediatric Pneumonia Screening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CADx on the Kermany CXR cohort spans classic CNNs [6], [37] to EfficientNet and hybrid attention models [8], [16], [38], [40]–[42]. Reported accuracies cluster at 92–96%, but single fixed thresholds and unchecked patient-level overlap limit clinical comparability [14], [15], [44].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C. Endoscopic Lesion Detection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Endoscopic CAD has advanced from ulcer differentiation [3] to attention and dense networks [45], [46], [48]–[50], and specialized backbones such as Gastro-AI [22] and Gastro-BaseNet [53]. HyperKvasir [23] is the de-facto benchmark, yet its landmark-based negative classes invite organ-site shortcuts, which we isolate here.</w:t>
      </w:r>
    </w:p>
    <w:p>
      <w:pPr>
        <w:keepNext/>
        <w:spacing w:before="200" w:after="80" w:line="240" w:lineRule="auto"/>
        <w:ind w:firstLine="0"/>
        <w:jc w:val="center"/>
      </w:pPr>
      <w:r>
        <w:rPr>
          <w:rFonts w:ascii="Times New Roman" w:hAnsi="Times New Roman"/>
          <w:b w:val="0"/>
          <w:smallCaps/>
          <w:sz w:val="20"/>
        </w:rPr>
        <w:t>III. SYSTEM PLATFORM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A. Modality-Specific Pre-Processing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All inputs are resized to 3×224×224. CXR and MRI undergo contrast-limited adaptive histogram equalization (CLAHE, clip limit 2.0, 8×8 tiles); endoscopy frames undergo adaptive RGB color normalization to reduce chromatic shift from xenon illumination (this reduces tint variation but does not remove specular highlights).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B. Inference Serving and Grad-CAM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A containerized FastAPI/PyTorch 2.6 service holds all three models in memory. A request carries an image and a modality tag; the routed model returns the class probability and a Grad-CAM heatmap computed at the terminal refinement map (7×7), bilinearly upsampled to 224×224 [13]. Predictions use temperature-scaled softmax (TumorNet) or a validation-calibrated threshold (PneumoNet, GastroNet).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C. Bilingual Dashboard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A Next.js 14 dashboard toggles English/Hindi (hi-IN) and compiles a printable PDF report with the scan, Grad-CAM overlay, confidence, and a decision-support disclaimer. Hindi terminology has not been clinician-reviewed; the report is a rule-based template and is not clinically validated.</w:t>
      </w:r>
    </w:p>
    <w:p>
      <w:pPr>
        <w:keepNext/>
        <w:spacing w:before="200" w:after="80" w:line="240" w:lineRule="auto"/>
        <w:ind w:firstLine="0"/>
        <w:jc w:val="center"/>
      </w:pPr>
      <w:r>
        <w:rPr>
          <w:rFonts w:ascii="Times New Roman" w:hAnsi="Times New Roman"/>
          <w:b w:val="0"/>
          <w:smallCaps/>
          <w:sz w:val="20"/>
        </w:rPr>
        <w:t>IV. DUALPATHNET ARCHITECTURE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DualPathNet decouples extraction into parallel residual streams. Path A (four 3×3 stages, 32→64→128→256) captures fine textures and margins; Path B (four 5×5 stages) captures broad anatomy and lobar consolidation. Each residual block is</w:t>
      </w:r>
    </w:p>
    <w:p>
      <w:pPr>
        <w:tabs>
          <w:tab w:pos="5040" w:val="right"/>
        </w:tabs>
        <w:spacing w:before="120" w:after="120" w:line="240" w:lineRule="auto"/>
        <w:ind w:firstLine="0" w:left="432"/>
        <w:jc w:val="left"/>
      </w:pPr>
      <w:r>
        <w:rPr>
          <w:rFonts w:ascii="Cambria Math" w:hAnsi="Cambria Math"/>
          <w:b w:val="0"/>
          <w:i/>
          <w:sz w:val="20"/>
        </w:rPr>
        <w:tab/>
        <w:t>y = σ(BN(W</w:t>
      </w:r>
      <w:r>
        <w:rPr>
          <w:rFonts w:ascii="Cambria Math" w:hAnsi="Cambria Math"/>
          <w:b w:val="0"/>
          <w:i/>
          <w:sz w:val="20"/>
          <w:vertAlign w:val="subscript"/>
        </w:rPr>
        <w:t>2</w:t>
      </w:r>
      <w:r>
        <w:rPr>
          <w:rFonts w:ascii="Cambria Math" w:hAnsi="Cambria Math"/>
          <w:b w:val="0"/>
          <w:i/>
          <w:sz w:val="20"/>
        </w:rPr>
        <w:t xml:space="preserve"> ∗ σ(BN(W</w:t>
      </w:r>
      <w:r>
        <w:rPr>
          <w:rFonts w:ascii="Cambria Math" w:hAnsi="Cambria Math"/>
          <w:b w:val="0"/>
          <w:i/>
          <w:sz w:val="20"/>
          <w:vertAlign w:val="subscript"/>
        </w:rPr>
        <w:t>1</w:t>
      </w:r>
      <w:r>
        <w:rPr>
          <w:rFonts w:ascii="Cambria Math" w:hAnsi="Cambria Math"/>
          <w:b w:val="0"/>
          <w:i/>
          <w:sz w:val="20"/>
        </w:rPr>
        <w:t xml:space="preserve"> ∗ x)))) + S(x)</w:t>
        <w:tab/>
        <w:t>(1)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where ∗ is 2-D convolution, BN batch normalization, σ the SiLU activation, and S(x) an identity or 1×1 projection shortcut. The two 256-channel outputs are concatenated and projected through a 1×1 bottleneck,</w:t>
      </w:r>
    </w:p>
    <w:p>
      <w:pPr>
        <w:tabs>
          <w:tab w:pos="5040" w:val="right"/>
        </w:tabs>
        <w:spacing w:before="120" w:after="120" w:line="240" w:lineRule="auto"/>
        <w:ind w:firstLine="0" w:left="432"/>
        <w:jc w:val="left"/>
      </w:pPr>
      <w:r>
        <w:rPr>
          <w:rFonts w:ascii="Cambria Math" w:hAnsi="Cambria Math"/>
          <w:b w:val="0"/>
          <w:i/>
          <w:sz w:val="20"/>
        </w:rPr>
        <w:tab/>
        <w:t>F = σ(BN(W</w:t>
      </w:r>
      <w:r>
        <w:rPr>
          <w:rFonts w:ascii="Cambria Math" w:hAnsi="Cambria Math"/>
          <w:b w:val="0"/>
          <w:i/>
          <w:sz w:val="20"/>
          <w:vertAlign w:val="subscript"/>
        </w:rPr>
        <w:t>fuse</w:t>
      </w:r>
      <w:r>
        <w:rPr>
          <w:rFonts w:ascii="Cambria Math" w:hAnsi="Cambria Math"/>
          <w:b w:val="0"/>
          <w:i/>
          <w:sz w:val="20"/>
        </w:rPr>
        <w:t xml:space="preserve"> ∗ [F</w:t>
      </w:r>
      <w:r>
        <w:rPr>
          <w:rFonts w:ascii="Cambria Math" w:hAnsi="Cambria Math"/>
          <w:b w:val="0"/>
          <w:i/>
          <w:sz w:val="20"/>
          <w:vertAlign w:val="subscript"/>
        </w:rPr>
        <w:t>A</w:t>
      </w:r>
      <w:r>
        <w:rPr>
          <w:rFonts w:ascii="Cambria Math" w:hAnsi="Cambria Math"/>
          <w:b w:val="0"/>
          <w:i/>
          <w:sz w:val="20"/>
        </w:rPr>
        <w:t xml:space="preserve"> ; F</w:t>
      </w:r>
      <w:r>
        <w:rPr>
          <w:rFonts w:ascii="Cambria Math" w:hAnsi="Cambria Math"/>
          <w:b w:val="0"/>
          <w:i/>
          <w:sz w:val="20"/>
          <w:vertAlign w:val="subscript"/>
        </w:rPr>
        <w:t>B</w:t>
      </w:r>
      <w:r>
        <w:rPr>
          <w:rFonts w:ascii="Cambria Math" w:hAnsi="Cambria Math"/>
          <w:b w:val="0"/>
          <w:i/>
          <w:sz w:val="20"/>
        </w:rPr>
        <w:t>])) ∈ ℝ</w:t>
      </w:r>
      <w:r>
        <w:rPr>
          <w:rFonts w:ascii="Cambria Math" w:hAnsi="Cambria Math"/>
          <w:b w:val="0"/>
          <w:i/>
          <w:sz w:val="20"/>
          <w:vertAlign w:val="superscript"/>
        </w:rPr>
        <w:t>512×14×14</w:t>
      </w:r>
      <w:r>
        <w:rPr>
          <w:rFonts w:ascii="Cambria Math" w:hAnsi="Cambria Math"/>
          <w:b w:val="0"/>
          <w:i/>
          <w:sz w:val="20"/>
        </w:rPr>
        <w:tab/>
        <w:t>(2)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then refined by a Convolutional Block Attention Module (CBAM) [19] with channel attention (shared MLP, r = 16) and 7×7 spatial attention, followed by two residual refinement stages and max-pooling to a 7×7 terminal map. Dual global pooling concatenates average and max statistics,</w:t>
      </w:r>
    </w:p>
    <w:p>
      <w:pPr>
        <w:tabs>
          <w:tab w:pos="5040" w:val="right"/>
        </w:tabs>
        <w:spacing w:before="120" w:after="120" w:line="240" w:lineRule="auto"/>
        <w:ind w:firstLine="0" w:left="432"/>
        <w:jc w:val="left"/>
      </w:pPr>
      <w:r>
        <w:rPr>
          <w:rFonts w:ascii="Cambria Math" w:hAnsi="Cambria Math"/>
          <w:b w:val="0"/>
          <w:i/>
          <w:sz w:val="20"/>
        </w:rPr>
        <w:tab/>
        <w:t>z = [z</w:t>
      </w:r>
      <w:r>
        <w:rPr>
          <w:rFonts w:ascii="Cambria Math" w:hAnsi="Cambria Math"/>
          <w:b w:val="0"/>
          <w:i/>
          <w:sz w:val="20"/>
          <w:vertAlign w:val="subscript"/>
        </w:rPr>
        <w:t>avg</w:t>
      </w:r>
      <w:r>
        <w:rPr>
          <w:rFonts w:ascii="Cambria Math" w:hAnsi="Cambria Math"/>
          <w:b w:val="0"/>
          <w:i/>
          <w:sz w:val="20"/>
        </w:rPr>
        <w:t xml:space="preserve"> ; z</w:t>
      </w:r>
      <w:r>
        <w:rPr>
          <w:rFonts w:ascii="Cambria Math" w:hAnsi="Cambria Math"/>
          <w:b w:val="0"/>
          <w:i/>
          <w:sz w:val="20"/>
          <w:vertAlign w:val="subscript"/>
        </w:rPr>
        <w:t>max</w:t>
      </w:r>
      <w:r>
        <w:rPr>
          <w:rFonts w:ascii="Cambria Math" w:hAnsi="Cambria Math"/>
          <w:b w:val="0"/>
          <w:i/>
          <w:sz w:val="20"/>
        </w:rPr>
        <w:t>] ∈ ℝ</w:t>
      </w:r>
      <w:r>
        <w:rPr>
          <w:rFonts w:ascii="Cambria Math" w:hAnsi="Cambria Math"/>
          <w:b w:val="0"/>
          <w:i/>
          <w:sz w:val="20"/>
          <w:vertAlign w:val="superscript"/>
        </w:rPr>
        <w:t>1024</w:t>
      </w:r>
      <w:r>
        <w:rPr>
          <w:rFonts w:ascii="Cambria Math" w:hAnsi="Cambria Math"/>
          <w:b w:val="0"/>
          <w:i/>
          <w:sz w:val="20"/>
        </w:rPr>
        <w:tab/>
        <w:t>(3)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and a 1024→512→256→C MLP head with Dropout(0.35, 0.20) outputs the logits. For the explained class c, the Grad-CAM saliency map is [13]</w:t>
      </w:r>
    </w:p>
    <w:p>
      <w:pPr>
        <w:tabs>
          <w:tab w:pos="5040" w:val="right"/>
        </w:tabs>
        <w:spacing w:before="120" w:after="120" w:line="240" w:lineRule="auto"/>
        <w:ind w:firstLine="0" w:left="432"/>
        <w:jc w:val="left"/>
      </w:pPr>
      <w:r>
        <w:rPr>
          <w:rFonts w:ascii="Cambria Math" w:hAnsi="Cambria Math"/>
          <w:b w:val="0"/>
          <w:i/>
          <w:sz w:val="20"/>
        </w:rPr>
        <w:tab/>
        <w:t>L</w:t>
      </w:r>
      <w:r>
        <w:rPr>
          <w:rFonts w:ascii="Cambria Math" w:hAnsi="Cambria Math"/>
          <w:b w:val="0"/>
          <w:i/>
          <w:sz w:val="20"/>
          <w:vertAlign w:val="subscript"/>
        </w:rPr>
        <w:t>c</w:t>
      </w:r>
      <w:r>
        <w:rPr>
          <w:rFonts w:ascii="Cambria Math" w:hAnsi="Cambria Math"/>
          <w:b w:val="0"/>
          <w:i/>
          <w:sz w:val="20"/>
        </w:rPr>
        <w:t xml:space="preserve"> = ReLU(Σ</w:t>
      </w:r>
      <w:r>
        <w:rPr>
          <w:rFonts w:ascii="Cambria Math" w:hAnsi="Cambria Math"/>
          <w:b w:val="0"/>
          <w:i/>
          <w:sz w:val="20"/>
          <w:vertAlign w:val="subscript"/>
        </w:rPr>
        <w:t>k</w:t>
      </w:r>
      <w:r>
        <w:rPr>
          <w:rFonts w:ascii="Cambria Math" w:hAnsi="Cambria Math"/>
          <w:b w:val="0"/>
          <w:i/>
          <w:sz w:val="20"/>
        </w:rPr>
        <w:t xml:space="preserve"> α</w:t>
      </w:r>
      <w:r>
        <w:rPr>
          <w:rFonts w:ascii="Cambria Math" w:hAnsi="Cambria Math"/>
          <w:b w:val="0"/>
          <w:i/>
          <w:sz w:val="20"/>
          <w:vertAlign w:val="superscript"/>
        </w:rPr>
        <w:t>c</w:t>
      </w:r>
      <w:r>
        <w:rPr>
          <w:rFonts w:ascii="Cambria Math" w:hAnsi="Cambria Math"/>
          <w:b w:val="0"/>
          <w:i/>
          <w:sz w:val="20"/>
          <w:vertAlign w:val="subscript"/>
        </w:rPr>
        <w:t>k</w:t>
      </w:r>
      <w:r>
        <w:rPr>
          <w:rFonts w:ascii="Cambria Math" w:hAnsi="Cambria Math"/>
          <w:b w:val="0"/>
          <w:i/>
          <w:sz w:val="20"/>
        </w:rPr>
        <w:t xml:space="preserve"> A</w:t>
      </w:r>
      <w:r>
        <w:rPr>
          <w:rFonts w:ascii="Cambria Math" w:hAnsi="Cambria Math"/>
          <w:b w:val="0"/>
          <w:i/>
          <w:sz w:val="20"/>
          <w:vertAlign w:val="superscript"/>
        </w:rPr>
        <w:t>k</w:t>
      </w:r>
      <w:r>
        <w:rPr>
          <w:rFonts w:ascii="Cambria Math" w:hAnsi="Cambria Math"/>
          <w:b w:val="0"/>
          <w:i/>
          <w:sz w:val="20"/>
        </w:rPr>
        <w:t>), α</w:t>
      </w:r>
      <w:r>
        <w:rPr>
          <w:rFonts w:ascii="Cambria Math" w:hAnsi="Cambria Math"/>
          <w:b w:val="0"/>
          <w:i/>
          <w:sz w:val="20"/>
          <w:vertAlign w:val="superscript"/>
        </w:rPr>
        <w:t>c</w:t>
      </w:r>
      <w:r>
        <w:rPr>
          <w:rFonts w:ascii="Cambria Math" w:hAnsi="Cambria Math"/>
          <w:b w:val="0"/>
          <w:i/>
          <w:sz w:val="20"/>
          <w:vertAlign w:val="subscript"/>
        </w:rPr>
        <w:t>k</w:t>
      </w:r>
      <w:r>
        <w:rPr>
          <w:rFonts w:ascii="Cambria Math" w:hAnsi="Cambria Math"/>
          <w:b w:val="0"/>
          <w:i/>
          <w:sz w:val="20"/>
        </w:rPr>
        <w:t xml:space="preserve"> = (1/Z) Σ</w:t>
      </w:r>
      <w:r>
        <w:rPr>
          <w:rFonts w:ascii="Cambria Math" w:hAnsi="Cambria Math"/>
          <w:b w:val="0"/>
          <w:i/>
          <w:sz w:val="20"/>
          <w:vertAlign w:val="subscript"/>
        </w:rPr>
        <w:t>i</w:t>
      </w:r>
      <w:r>
        <w:rPr>
          <w:rFonts w:ascii="Cambria Math" w:hAnsi="Cambria Math"/>
          <w:b w:val="0"/>
          <w:i/>
          <w:sz w:val="20"/>
        </w:rPr>
        <w:t>Σ</w:t>
      </w:r>
      <w:r>
        <w:rPr>
          <w:rFonts w:ascii="Cambria Math" w:hAnsi="Cambria Math"/>
          <w:b w:val="0"/>
          <w:i/>
          <w:sz w:val="20"/>
          <w:vertAlign w:val="subscript"/>
        </w:rPr>
        <w:t>j</w:t>
      </w:r>
      <w:r>
        <w:rPr>
          <w:rFonts w:ascii="Cambria Math" w:hAnsi="Cambria Math"/>
          <w:b w:val="0"/>
          <w:i/>
          <w:sz w:val="20"/>
        </w:rPr>
        <w:t xml:space="preserve"> ∂ŷ</w:t>
      </w:r>
      <w:r>
        <w:rPr>
          <w:rFonts w:ascii="Cambria Math" w:hAnsi="Cambria Math"/>
          <w:b w:val="0"/>
          <w:i/>
          <w:sz w:val="20"/>
          <w:vertAlign w:val="subscript"/>
        </w:rPr>
        <w:t>c</w:t>
      </w:r>
      <w:r>
        <w:rPr>
          <w:rFonts w:ascii="Cambria Math" w:hAnsi="Cambria Math"/>
          <w:b w:val="0"/>
          <w:i/>
          <w:sz w:val="20"/>
        </w:rPr>
        <w:t>/∂A</w:t>
      </w:r>
      <w:r>
        <w:rPr>
          <w:rFonts w:ascii="Cambria Math" w:hAnsi="Cambria Math"/>
          <w:b w:val="0"/>
          <w:i/>
          <w:sz w:val="20"/>
          <w:vertAlign w:val="superscript"/>
        </w:rPr>
        <w:t>k</w:t>
      </w:r>
      <w:r>
        <w:rPr>
          <w:rFonts w:ascii="Cambria Math" w:hAnsi="Cambria Math"/>
          <w:b w:val="0"/>
          <w:i/>
          <w:sz w:val="20"/>
          <w:vertAlign w:val="subscript"/>
        </w:rPr>
        <w:t>i,j</w:t>
      </w:r>
      <w:r>
        <w:rPr>
          <w:rFonts w:ascii="Cambria Math" w:hAnsi="Cambria Math"/>
          <w:b w:val="0"/>
          <w:i/>
          <w:sz w:val="20"/>
        </w:rPr>
        <w:tab/>
        <w:t>(4)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where Z = 49. Decision rules: TumorNet predicts argmax over temperature-scaled softmax; the binary models compare the positive-class probability against an operating threshold τ selected on the validation partition.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Losses. TumorNet uses multi-class focal loss with label smoothing (γ = 1.5, ε = 0.05, class weights [1.35, 1.05, 0.9, 0.9]); PneumoNet and GastroNet use binary focal loss (γ = 2.0) with inverse class weights and Mixup (α = 0.2).</w:t>
      </w:r>
    </w:p>
    <w:p>
      <w:pPr>
        <w:keepNext/>
        <w:spacing w:before="16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27248" cy="1314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ualpathne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7248" cy="131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16"/>
        </w:rPr>
        <w:t>Fig. 1. DualPathNet architecture: parallel 3×3 (Path A) and 5×5 (Path B) residual streams, 1×1 fusion, CBAM attention, two-stage refinement with a Grad-CAM hook at the terminal 7×7 map, and dual global pooling into a task-specific head.</w:t>
      </w:r>
    </w:p>
    <w:p>
      <w:pPr>
        <w:keepNext/>
        <w:spacing w:before="200" w:after="80" w:line="240" w:lineRule="auto"/>
        <w:ind w:firstLine="0"/>
        <w:jc w:val="center"/>
      </w:pPr>
      <w:r>
        <w:rPr>
          <w:rFonts w:ascii="Times New Roman" w:hAnsi="Times New Roman"/>
          <w:b w:val="0"/>
          <w:smallCaps/>
          <w:sz w:val="20"/>
        </w:rPr>
        <w:t>V. DATASETS, SPLITS, AND LEAKAGE AUDIT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A. Internal Benchmarks and Label Mapping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Brain Tumor MRI (Kaggle/Nickparvar). We use 7,200 scans: a 5,600-scan Training repository divided by stratified 85/15 split into 4,760 training and 840 validation scans, and the independent 1,600-scan Testing partition (400 per class). Labels are glioma, meningioma, notumor (pituitary-absent controls), and pituitary adenoma. Splits are 2-D slice level; no patient identifiers are published, so patient-level separation cannot be enforced.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Pediatric CXR (Kermany). We use 5,840 radiographs: the 5,216-scan train repository divided by stratified 85/15 split into 4,433 training and 783 validation radiographs, plus the official 624-scan test partition (234 normal, 390 pneumonia). Labels are binary normal/pneumonia.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HyperKvasir (labeled images). We use 4,736 frames: 3,314 training, 711 validation, and 711 held-out test (stratified 70/15/15, seed 42). The positive class aggregates mucosal breaks—reflux esophagitis (663), Barrett’s metaplasia (94), and ulcerative colitis grades 1–3/1-2/2-3 (816)—while the negative class comprises anatomical landmarks: pylorus (999), retroflex stomach (764), cecum (1,009), and retroflex rectum (391). Z-line frames (932) and grade-0-1 colitis are excluded from the main task and reserved for same-organ control experiments.</w:t>
      </w:r>
    </w:p>
    <w:p>
      <w:pPr>
        <w:keepNext/>
        <w:spacing w:before="160" w:after="40" w:line="240" w:lineRule="auto"/>
        <w:ind w:firstLine="0"/>
        <w:jc w:val="center"/>
      </w:pPr>
      <w:r>
        <w:rPr>
          <w:rFonts w:ascii="Times New Roman" w:hAnsi="Times New Roman"/>
          <w:smallCaps/>
          <w:sz w:val="15"/>
        </w:rPr>
        <w:t>TABLE I</w:t>
      </w:r>
      <w:r>
        <w:rPr>
          <w:rFonts w:ascii="Times New Roman" w:hAnsi="Times New Roman"/>
          <w:sz w:val="15"/>
        </w:rPr>
        <w:br/>
        <w:t>Dataset composition and label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000000"/>
          <w:left w:val="none" w:sz="4" w:color="000000"/>
          <w:bottom w:val="single" w:sz="4" w:color="000000"/>
          <w:right w:val="none" w:sz="4" w:color="000000"/>
          <w:insideH w:val="none" w:sz="4" w:color="000000"/>
          <w:insideV w:val="none" w:sz="4" w:color="000000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875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Dataset</w:t>
            </w:r>
          </w:p>
        </w:tc>
        <w:tc>
          <w:tcPr>
            <w:tcW w:type="dxa" w:w="875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Modality</w:t>
            </w:r>
          </w:p>
        </w:tc>
        <w:tc>
          <w:tcPr>
            <w:tcW w:type="dxa" w:w="106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Classes</w:t>
            </w:r>
          </w:p>
        </w:tc>
        <w:tc>
          <w:tcPr>
            <w:tcW w:type="dxa" w:w="94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Train / Val / Test</w:t>
            </w:r>
          </w:p>
        </w:tc>
        <w:tc>
          <w:tcPr>
            <w:tcW w:type="dxa" w:w="1166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Domain</w:t>
            </w:r>
          </w:p>
        </w:tc>
      </w:tr>
      <w:tr>
        <w:tc>
          <w:tcPr>
            <w:tcW w:type="dxa" w:w="875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Brain Tumor MRI</w:t>
            </w:r>
          </w:p>
        </w:tc>
        <w:tc>
          <w:tcPr>
            <w:tcW w:type="dxa" w:w="875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T1-CE MRI</w:t>
            </w:r>
          </w:p>
        </w:tc>
        <w:tc>
          <w:tcPr>
            <w:tcW w:type="dxa" w:w="106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4 (glioma, meningioma, notumor, pituitary)</w:t>
            </w:r>
          </w:p>
        </w:tc>
        <w:tc>
          <w:tcPr>
            <w:tcW w:type="dxa" w:w="94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4,760 / 840 / 1,600</w:t>
            </w:r>
          </w:p>
        </w:tc>
        <w:tc>
          <w:tcPr>
            <w:tcW w:type="dxa" w:w="1166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Single-center, skull-intact slices</w:t>
            </w:r>
          </w:p>
        </w:tc>
      </w:tr>
      <w:tr>
        <w:tc>
          <w:tcPr>
            <w:tcW w:type="dxa" w:w="875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Kermany CXR</w:t>
            </w:r>
          </w:p>
        </w:tc>
        <w:tc>
          <w:tcPr>
            <w:tcW w:type="dxa" w:w="875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Pediatric CXR</w:t>
            </w:r>
          </w:p>
        </w:tc>
        <w:tc>
          <w:tcPr>
            <w:tcW w:type="dxa" w:w="106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2 (normal, pneumonia)</w:t>
            </w:r>
          </w:p>
        </w:tc>
        <w:tc>
          <w:tcPr>
            <w:tcW w:type="dxa" w:w="94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4,433 / 783 / 624</w:t>
            </w:r>
          </w:p>
        </w:tc>
        <w:tc>
          <w:tcPr>
            <w:tcW w:type="dxa" w:w="1166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Single-center, pediatric AP/PA</w:t>
            </w:r>
          </w:p>
        </w:tc>
      </w:tr>
      <w:tr>
        <w:tc>
          <w:tcPr>
            <w:tcW w:type="dxa" w:w="875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HyperKvasir</w:t>
            </w:r>
          </w:p>
        </w:tc>
        <w:tc>
          <w:tcPr>
            <w:tcW w:type="dxa" w:w="875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White-light endoscopy</w:t>
            </w:r>
          </w:p>
        </w:tc>
        <w:tc>
          <w:tcPr>
            <w:tcW w:type="dxa" w:w="106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2 (lesion, landmark)</w:t>
            </w:r>
          </w:p>
        </w:tc>
        <w:tc>
          <w:tcPr>
            <w:tcW w:type="dxa" w:w="94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3,314 / 711 / 711</w:t>
            </w:r>
          </w:p>
        </w:tc>
        <w:tc>
          <w:tcPr>
            <w:tcW w:type="dxa" w:w="1166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Single-center, upper + lower GI</w:t>
            </w:r>
          </w:p>
        </w:tc>
      </w:tr>
    </w:tbl>
    <w:p>
      <w:pPr>
        <w:spacing w:before="60" w:after="1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14"/>
        </w:rPr>
        <w:t>HyperKvasir positives = esophagitis (663) + Barrett’s (94) + ulcerative colitis grades 1–3/1-2/2-3 (816); negatives = pylorus (999) + retroflex stomach (764) + cecum (1,009) + retroflex rectum (391).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B. External Out-of-Distribution Cohorts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To measure domain shift, frozen models were evaluated zero-shot on three external cohorts. For each we fixed the label mapping, the deterministic subset-selection rule, and the expected mismatch relative to the training distribution (Table II).</w:t>
      </w:r>
    </w:p>
    <w:p>
      <w:pPr>
        <w:sectPr>
          <w:type w:val="continuous"/>
          <w:pgSz w:w="12240" w:h="15840"/>
          <w:pgMar w:top="1080" w:right="900" w:bottom="1440" w:left="900" w:header="720" w:footer="720" w:gutter="0"/>
          <w:docGrid w:linePitch="360"/>
          <w:cols w:num="2" w:space="360" w:equalWidth="1"/>
        </w:sectPr>
      </w:pPr>
    </w:p>
    <w:p>
      <w:pPr>
        <w:keepNext/>
        <w:spacing w:before="160" w:after="40" w:line="240" w:lineRule="auto"/>
        <w:ind w:firstLine="0"/>
        <w:jc w:val="center"/>
      </w:pPr>
      <w:r>
        <w:rPr>
          <w:rFonts w:ascii="Times New Roman" w:hAnsi="Times New Roman"/>
          <w:smallCaps/>
          <w:sz w:val="15"/>
        </w:rPr>
        <w:t>TABLE II</w:t>
      </w:r>
      <w:r>
        <w:rPr>
          <w:rFonts w:ascii="Times New Roman" w:hAnsi="Times New Roman"/>
          <w:sz w:val="15"/>
        </w:rPr>
        <w:br/>
        <w:t>External out-of-distribution cohorts: label mapping, subset selection, and domain mismatch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000000"/>
          <w:left w:val="none" w:sz="4" w:color="000000"/>
          <w:bottom w:val="single" w:sz="4" w:color="000000"/>
          <w:right w:val="none" w:sz="4" w:color="000000"/>
          <w:insideH w:val="none" w:sz="4" w:color="000000"/>
          <w:insideV w:val="none" w:sz="4" w:color="000000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1375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Cohort</w:t>
            </w:r>
          </w:p>
        </w:tc>
        <w:tc>
          <w:tcPr>
            <w:tcW w:type="dxa" w:w="111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Target model</w:t>
            </w:r>
          </w:p>
        </w:tc>
        <w:tc>
          <w:tcPr>
            <w:tcW w:type="dxa" w:w="248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Label mapping (external → model)</w:t>
            </w:r>
          </w:p>
        </w:tc>
        <w:tc>
          <w:tcPr>
            <w:tcW w:type="dxa" w:w="248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Subset selection</w:t>
            </w:r>
          </w:p>
        </w:tc>
        <w:tc>
          <w:tcPr>
            <w:tcW w:type="dxa" w:w="2618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Domain mismatch</w:t>
            </w:r>
          </w:p>
        </w:tc>
      </w:tr>
      <w:tr>
        <w:tc>
          <w:tcPr>
            <w:tcW w:type="dxa" w:w="1375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RSNA Pneumonia [60]</w:t>
            </w:r>
          </w:p>
        </w:tc>
        <w:tc>
          <w:tcPr>
            <w:tcW w:type="dxa" w:w="111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PneumoNet</w:t>
            </w:r>
          </w:p>
        </w:tc>
        <w:tc>
          <w:tcPr>
            <w:tcW w:type="dxa" w:w="248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Lung Opacity → positive; Normal → negative; “No Lung Opacity / Not Normal” excluded</w:t>
            </w:r>
          </w:p>
        </w:tc>
        <w:tc>
          <w:tcPr>
            <w:tcW w:type="dxa" w:w="248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Seed-42 stratified sample of 250 positive / 250 normal (N = 500) from the public training split (test labels withheld)</w:t>
            </w:r>
          </w:p>
        </w:tc>
        <w:tc>
          <w:tcPr>
            <w:tcW w:type="dxa" w:w="2618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Adult chest radiographs, mixed vendors/AP-PA, vs. pediatric Kermany</w:t>
            </w:r>
          </w:p>
        </w:tc>
      </w:tr>
      <w:tr>
        <w:tc>
          <w:tcPr>
            <w:tcW w:type="dxa" w:w="1375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BraTS 2020 [61]</w:t>
            </w:r>
          </w:p>
        </w:tc>
        <w:tc>
          <w:tcPr>
            <w:tcW w:type="dxa" w:w="111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TumorNet</w:t>
            </w:r>
          </w:p>
        </w:tc>
        <w:tc>
          <w:tcPr>
            <w:tcW w:type="dxa" w:w="248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T1ce slices intersecting any tumor label → positive; tumor-free slices → negative; 4-class softmax summed to binary</w:t>
            </w:r>
          </w:p>
        </w:tc>
        <w:tc>
          <w:tcPr>
            <w:tcW w:type="dxa" w:w="248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Seed-42 sample of 400 axial T1ce slices, 200/200 balanced</w:t>
            </w:r>
          </w:p>
        </w:tc>
        <w:tc>
          <w:tcPr>
            <w:tcW w:type="dxa" w:w="2618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Skull-stripped, co-registered, intensity-normalized, vs. skull-intact T1-CE Kaggle slices</w:t>
            </w:r>
          </w:p>
        </w:tc>
      </w:tr>
      <w:tr>
        <w:tc>
          <w:tcPr>
            <w:tcW w:type="dxa" w:w="1375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Kvasir-Capsule [62]</w:t>
            </w:r>
          </w:p>
        </w:tc>
        <w:tc>
          <w:tcPr>
            <w:tcW w:type="dxa" w:w="111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GastroNet</w:t>
            </w:r>
          </w:p>
        </w:tc>
        <w:tc>
          <w:tcPr>
            <w:tcW w:type="dxa" w:w="248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Mucosal lesion findings (ulcer/erosion/polyp) → positive; normal mucosa → negative</w:t>
            </w:r>
          </w:p>
        </w:tc>
        <w:tc>
          <w:tcPr>
            <w:tcW w:type="dxa" w:w="248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Seed-42 sample of 300 frames, 150/150 balanced</w:t>
            </w:r>
          </w:p>
        </w:tc>
        <w:tc>
          <w:tcPr>
            <w:tcW w:type="dxa" w:w="2618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Wireless capsule optics (336×336), motion blur/bubbles, vs. white-light Olympus</w:t>
            </w:r>
          </w:p>
        </w:tc>
      </w:tr>
    </w:tbl>
    <w:p>
      <w:pPr>
        <w:sectPr>
          <w:type w:val="continuous"/>
          <w:pgSz w:w="12240" w:h="15840"/>
          <w:pgMar w:top="1080" w:right="900" w:bottom="1440" w:left="900" w:header="720" w:footer="720" w:gutter="0"/>
          <w:docGrid w:linePitch="360"/>
          <w:cols w:num="1" w:space="360" w:equalWidth="1"/>
        </w:sectPr>
      </w:pP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C. Leakage Audit Methodology and Results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Every image was fingerprinted four ways: raw-byte SHA-256, decoded-pixel hash, a 64-bit difference hash (dHash), and a content-cropped 256-bit perceptual descriptor (16-word dHash/pHash computed after tight bounding-box cropping of the anatomy, which removes uniform backgrounds and collimator borders). A 64-bit dHash is included only to show why earlier near-duplicate rates were inflated (Table III).</w:t>
      </w:r>
    </w:p>
    <w:p>
      <w:pPr>
        <w:sectPr>
          <w:type w:val="continuous"/>
          <w:pgSz w:w="12240" w:h="15840"/>
          <w:pgMar w:top="1080" w:right="900" w:bottom="1440" w:left="900" w:header="720" w:footer="720" w:gutter="0"/>
          <w:docGrid w:linePitch="360"/>
          <w:cols w:num="2" w:space="360" w:equalWidth="1"/>
        </w:sectPr>
      </w:pPr>
    </w:p>
    <w:p>
      <w:pPr>
        <w:keepNext/>
        <w:spacing w:before="160" w:after="40" w:line="240" w:lineRule="auto"/>
        <w:ind w:firstLine="0"/>
        <w:jc w:val="center"/>
      </w:pPr>
      <w:r>
        <w:rPr>
          <w:rFonts w:ascii="Times New Roman" w:hAnsi="Times New Roman"/>
          <w:smallCaps/>
          <w:sz w:val="15"/>
        </w:rPr>
        <w:t>TABLE III</w:t>
      </w:r>
      <w:r>
        <w:rPr>
          <w:rFonts w:ascii="Times New Roman" w:hAnsi="Times New Roman"/>
          <w:sz w:val="15"/>
        </w:rPr>
        <w:br/>
        <w:t>Cross-split leakage audit under two descriptors (test scans within distance of any training scan)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000000"/>
          <w:left w:val="none" w:sz="4" w:color="000000"/>
          <w:bottom w:val="single" w:sz="4" w:color="000000"/>
          <w:right w:val="none" w:sz="4" w:color="000000"/>
          <w:insideH w:val="none" w:sz="4" w:color="000000"/>
          <w:insideV w:val="none" w:sz="4" w:color="000000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758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Dataset</w:t>
            </w:r>
          </w:p>
        </w:tc>
        <w:tc>
          <w:tcPr>
            <w:tcW w:type="dxa" w:w="1582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64-bit dHash, H = 0</w:t>
            </w:r>
          </w:p>
        </w:tc>
        <w:tc>
          <w:tcPr>
            <w:tcW w:type="dxa" w:w="1582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64-bit dHash, H ≤ 4</w:t>
            </w:r>
          </w:p>
        </w:tc>
        <w:tc>
          <w:tcPr>
            <w:tcW w:type="dxa" w:w="1524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256-bit cropped, T = 0</w:t>
            </w:r>
          </w:p>
        </w:tc>
        <w:tc>
          <w:tcPr>
            <w:tcW w:type="dxa" w:w="1524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256-bit cropped, T ≤ 12</w:t>
            </w:r>
          </w:p>
        </w:tc>
        <w:tc>
          <w:tcPr>
            <w:tcW w:type="dxa" w:w="211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Pixel-exact copies (test)</w:t>
            </w:r>
          </w:p>
        </w:tc>
      </w:tr>
      <w:tr>
        <w:tc>
          <w:tcPr>
            <w:tcW w:type="dxa" w:w="1758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Brain MRI (N = 1,600)</w:t>
            </w:r>
          </w:p>
        </w:tc>
        <w:tc>
          <w:tcPr>
            <w:tcW w:type="dxa" w:w="1582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449 (28.1%)</w:t>
            </w:r>
          </w:p>
        </w:tc>
        <w:tc>
          <w:tcPr>
            <w:tcW w:type="dxa" w:w="1582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1,186 (74.1%)</w:t>
            </w:r>
          </w:p>
        </w:tc>
        <w:tc>
          <w:tcPr>
            <w:tcW w:type="dxa" w:w="1524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102 (6.4%)</w:t>
            </w:r>
          </w:p>
        </w:tc>
        <w:tc>
          <w:tcPr>
            <w:tcW w:type="dxa" w:w="1524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189 (11.8%)</w:t>
            </w:r>
          </w:p>
        </w:tc>
        <w:tc>
          <w:tcPr>
            <w:tcW w:type="dxa" w:w="211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98 cross-split (+21 intra-test)</w:t>
            </w:r>
          </w:p>
        </w:tc>
      </w:tr>
      <w:tr>
        <w:tc>
          <w:tcPr>
            <w:tcW w:type="dxa" w:w="1758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Pediatric CXR (N = 624)</w:t>
            </w:r>
          </w:p>
        </w:tc>
        <w:tc>
          <w:tcPr>
            <w:tcW w:type="dxa" w:w="1582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175 (28.0%)</w:t>
            </w:r>
          </w:p>
        </w:tc>
        <w:tc>
          <w:tcPr>
            <w:tcW w:type="dxa" w:w="1582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598 (95.8%)</w:t>
            </w:r>
          </w:p>
        </w:tc>
        <w:tc>
          <w:tcPr>
            <w:tcW w:type="dxa" w:w="1524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 (0.0%)</w:t>
            </w:r>
          </w:p>
        </w:tc>
        <w:tc>
          <w:tcPr>
            <w:tcW w:type="dxa" w:w="1524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 (0.0%)</w:t>
            </w:r>
          </w:p>
        </w:tc>
        <w:tc>
          <w:tcPr>
            <w:tcW w:type="dxa" w:w="211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 cross-split</w:t>
            </w:r>
          </w:p>
        </w:tc>
      </w:tr>
      <w:tr>
        <w:tc>
          <w:tcPr>
            <w:tcW w:type="dxa" w:w="1758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HyperKvasir (N = 711)</w:t>
            </w:r>
          </w:p>
        </w:tc>
        <w:tc>
          <w:tcPr>
            <w:tcW w:type="dxa" w:w="1582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45 (6.3%)</w:t>
            </w:r>
          </w:p>
        </w:tc>
        <w:tc>
          <w:tcPr>
            <w:tcW w:type="dxa" w:w="1582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420 (59.1%)</w:t>
            </w:r>
          </w:p>
        </w:tc>
        <w:tc>
          <w:tcPr>
            <w:tcW w:type="dxa" w:w="1524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1 (0.14%)</w:t>
            </w:r>
          </w:p>
        </w:tc>
        <w:tc>
          <w:tcPr>
            <w:tcW w:type="dxa" w:w="1524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 (0.42%)</w:t>
            </w:r>
          </w:p>
        </w:tc>
        <w:tc>
          <w:tcPr>
            <w:tcW w:type="dxa" w:w="211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 cross-split</w:t>
            </w:r>
          </w:p>
        </w:tc>
      </w:tr>
    </w:tbl>
    <w:p>
      <w:pPr>
        <w:sectPr>
          <w:type w:val="continuous"/>
          <w:pgSz w:w="12240" w:h="15840"/>
          <w:pgMar w:top="1080" w:right="900" w:bottom="1440" w:left="900" w:header="720" w:footer="720" w:gutter="0"/>
          <w:docGrid w:linePitch="360"/>
          <w:cols w:num="1" w:space="360" w:equalWidth="1"/>
        </w:sectPr>
      </w:pPr>
    </w:p>
    <w:p>
      <w:pPr>
        <w:spacing w:before="60" w:after="1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14"/>
        </w:rPr>
        <w:t>The 64-bit dHash collapses dark-background images to a single code, over-flagging CXR (95.8% at H ≤ 4) and MRI; the content-cropped 256-bit descriptor is the criterion used to define clean splits. Class balance of the clean test sets is preserved (MRI 394/313/305/400; CXR 234/390; HyperKvasir 473/235).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D. Training Protocol</w:t>
      </w:r>
    </w:p>
    <w:p>
      <w:pPr>
        <w:keepNext/>
        <w:spacing w:before="160" w:after="40" w:line="240" w:lineRule="auto"/>
        <w:ind w:firstLine="0"/>
        <w:jc w:val="center"/>
      </w:pPr>
      <w:r>
        <w:rPr>
          <w:rFonts w:ascii="Times New Roman" w:hAnsi="Times New Roman"/>
          <w:smallCaps/>
          <w:sz w:val="15"/>
        </w:rPr>
        <w:t>TABLE IV</w:t>
      </w:r>
      <w:r>
        <w:rPr>
          <w:rFonts w:ascii="Times New Roman" w:hAnsi="Times New Roman"/>
          <w:sz w:val="15"/>
        </w:rPr>
        <w:br/>
        <w:t>Standardized hyperparameters (AdamW, warmup-cosine schedule, SWA, 4-pass TTA)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000000"/>
          <w:left w:val="none" w:sz="4" w:color="000000"/>
          <w:bottom w:val="single" w:sz="4" w:color="000000"/>
          <w:right w:val="none" w:sz="4" w:color="000000"/>
          <w:insideH w:val="none" w:sz="4" w:color="000000"/>
          <w:insideV w:val="none" w:sz="4" w:color="000000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119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Parameter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TumorNet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PneumoNet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GastroNet</w:t>
            </w:r>
          </w:p>
        </w:tc>
      </w:tr>
      <w:tr>
        <w:tc>
          <w:tcPr>
            <w:tcW w:type="dxa" w:w="1197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Input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3×224×224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3×224×224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3×224×224</w:t>
            </w:r>
          </w:p>
        </w:tc>
      </w:tr>
      <w:tr>
        <w:tc>
          <w:tcPr>
            <w:tcW w:type="dxa" w:w="1197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Batch size / epochs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32 / 16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32 / 20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32 / 22</w:t>
            </w:r>
          </w:p>
        </w:tc>
      </w:tr>
      <w:tr>
        <w:tc>
          <w:tcPr>
            <w:tcW w:type="dxa" w:w="1197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Learning rate (η₀)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4×10⁻⁴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3×10⁻⁴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3×10⁻⁴</w:t>
            </w:r>
          </w:p>
        </w:tc>
      </w:tr>
      <w:tr>
        <w:tc>
          <w:tcPr>
            <w:tcW w:type="dxa" w:w="1197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Weight decay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1×10⁻⁴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1×10⁻⁴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1×10⁻⁴</w:t>
            </w:r>
          </w:p>
        </w:tc>
      </w:tr>
      <w:tr>
        <w:tc>
          <w:tcPr>
            <w:tcW w:type="dxa" w:w="1197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Loss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Focal γ=1.5, ε=0.05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Focal γ=2.0 + Mixup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Focal γ=2.0 + Mixup</w:t>
            </w:r>
          </w:p>
        </w:tc>
      </w:tr>
      <w:tr>
        <w:tc>
          <w:tcPr>
            <w:tcW w:type="dxa" w:w="1197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Decision rule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Argmax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τ selected on val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τ selected on val</w:t>
            </w:r>
          </w:p>
        </w:tc>
      </w:tr>
      <w:tr>
        <w:tc>
          <w:tcPr>
            <w:tcW w:type="dxa" w:w="1197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Seed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42 (single run)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42 (single run)</w:t>
            </w:r>
          </w:p>
        </w:tc>
        <w:tc>
          <w:tcPr>
            <w:tcW w:type="dxa" w:w="124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42 (single run)</w:t>
            </w:r>
          </w:p>
        </w:tc>
      </w:tr>
    </w:tbl>
    <w:p>
      <w:pPr>
        <w:keepNext/>
        <w:spacing w:before="200" w:after="80" w:line="240" w:lineRule="auto"/>
        <w:ind w:firstLine="0"/>
        <w:jc w:val="center"/>
      </w:pPr>
      <w:r>
        <w:rPr>
          <w:rFonts w:ascii="Times New Roman" w:hAnsi="Times New Roman"/>
          <w:b w:val="0"/>
          <w:smallCaps/>
          <w:sz w:val="20"/>
        </w:rPr>
        <w:t>VI. RESULTS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A. Performance on the Original Splits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On the official held-out test partitions with 4-pass TTA, DualPathNet attains 95.00% accuracy on brain MRI (macro F1 94.89%, OvR AUC 0.9875), 90.06% accuracy on pediatric CXR at τ = 0.780 (sensitivity 90.00%, specificity 90.17%), and 96.06% on endoscopy at τ = 0.580 (sensitivity 94.49%, specificity 96.84%) (Table V). Per-class MRI detail is in Table VI.</w:t>
      </w:r>
    </w:p>
    <w:p>
      <w:pPr>
        <w:sectPr>
          <w:type w:val="continuous"/>
          <w:pgSz w:w="12240" w:h="15840"/>
          <w:pgMar w:top="1080" w:right="900" w:bottom="1440" w:left="900" w:header="720" w:footer="720" w:gutter="0"/>
          <w:docGrid w:linePitch="360"/>
          <w:cols w:num="2" w:space="360" w:equalWidth="1"/>
        </w:sectPr>
      </w:pPr>
    </w:p>
    <w:p>
      <w:pPr>
        <w:keepNext/>
        <w:spacing w:before="160" w:after="40" w:line="240" w:lineRule="auto"/>
        <w:ind w:firstLine="0"/>
        <w:jc w:val="center"/>
      </w:pPr>
      <w:r>
        <w:rPr>
          <w:rFonts w:ascii="Times New Roman" w:hAnsi="Times New Roman"/>
          <w:smallCaps/>
          <w:sz w:val="15"/>
        </w:rPr>
        <w:t>TABLE V</w:t>
      </w:r>
      <w:r>
        <w:rPr>
          <w:rFonts w:ascii="Times New Roman" w:hAnsi="Times New Roman"/>
          <w:sz w:val="15"/>
        </w:rPr>
        <w:br/>
        <w:t>Held-out test performance on the original splits (95% bootstrap CIs, B = 1,000)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000000"/>
          <w:left w:val="none" w:sz="4" w:color="000000"/>
          <w:bottom w:val="single" w:sz="4" w:color="000000"/>
          <w:right w:val="none" w:sz="4" w:color="000000"/>
          <w:insideH w:val="none" w:sz="4" w:color="000000"/>
          <w:insideV w:val="none" w:sz="4" w:color="000000"/>
        </w:tblBorders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c>
          <w:tcPr>
            <w:tcW w:type="dxa" w:w="1002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Model</w:t>
            </w:r>
          </w:p>
        </w:tc>
        <w:tc>
          <w:tcPr>
            <w:tcW w:type="dxa" w:w="68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87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τ</w:t>
            </w:r>
          </w:p>
        </w:tc>
        <w:tc>
          <w:tcPr>
            <w:tcW w:type="dxa" w:w="169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Accuracy [95% CI]</w:t>
            </w:r>
          </w:p>
        </w:tc>
        <w:tc>
          <w:tcPr>
            <w:tcW w:type="dxa" w:w="175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Sensitivity [95% CI]</w:t>
            </w:r>
          </w:p>
        </w:tc>
        <w:tc>
          <w:tcPr>
            <w:tcW w:type="dxa" w:w="175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Specificity [95% CI]</w:t>
            </w:r>
          </w:p>
        </w:tc>
        <w:tc>
          <w:tcPr>
            <w:tcW w:type="dxa" w:w="1252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F1 / macro-F1</w:t>
            </w:r>
          </w:p>
        </w:tc>
        <w:tc>
          <w:tcPr>
            <w:tcW w:type="dxa" w:w="1064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AUC</w:t>
            </w:r>
          </w:p>
        </w:tc>
      </w:tr>
      <w:tr>
        <w:tc>
          <w:tcPr>
            <w:tcW w:type="dxa" w:w="1002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TumorNet</w:t>
            </w:r>
          </w:p>
        </w:tc>
        <w:tc>
          <w:tcPr>
            <w:tcW w:type="dxa" w:w="68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1,600</w:t>
            </w:r>
          </w:p>
        </w:tc>
        <w:tc>
          <w:tcPr>
            <w:tcW w:type="dxa" w:w="87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argmax</w:t>
            </w:r>
          </w:p>
        </w:tc>
        <w:tc>
          <w:tcPr>
            <w:tcW w:type="dxa" w:w="169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95.00% [93.9, 96.0]</w:t>
            </w:r>
          </w:p>
        </w:tc>
        <w:tc>
          <w:tcPr>
            <w:tcW w:type="dxa" w:w="175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94.94% [93.9, 96.0]</w:t>
            </w:r>
          </w:p>
        </w:tc>
        <w:tc>
          <w:tcPr>
            <w:tcW w:type="dxa" w:w="175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1252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94.89%</w:t>
            </w:r>
          </w:p>
        </w:tc>
        <w:tc>
          <w:tcPr>
            <w:tcW w:type="dxa" w:w="1064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0.9875</w:t>
            </w:r>
          </w:p>
        </w:tc>
      </w:tr>
      <w:tr>
        <w:tc>
          <w:tcPr>
            <w:tcW w:type="dxa" w:w="1002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PneumoNet</w:t>
            </w:r>
          </w:p>
        </w:tc>
        <w:tc>
          <w:tcPr>
            <w:tcW w:type="dxa" w:w="68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624</w:t>
            </w:r>
          </w:p>
        </w:tc>
        <w:tc>
          <w:tcPr>
            <w:tcW w:type="dxa" w:w="87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0.780</w:t>
            </w:r>
          </w:p>
        </w:tc>
        <w:tc>
          <w:tcPr>
            <w:tcW w:type="dxa" w:w="169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90.06% [87.8, 92.3]</w:t>
            </w:r>
          </w:p>
        </w:tc>
        <w:tc>
          <w:tcPr>
            <w:tcW w:type="dxa" w:w="175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90.00% [87.0, 92.8]</w:t>
            </w:r>
          </w:p>
        </w:tc>
        <w:tc>
          <w:tcPr>
            <w:tcW w:type="dxa" w:w="175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90.17% [86.2, 93.8]</w:t>
            </w:r>
          </w:p>
        </w:tc>
        <w:tc>
          <w:tcPr>
            <w:tcW w:type="dxa" w:w="1252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91.88%</w:t>
            </w:r>
          </w:p>
        </w:tc>
        <w:tc>
          <w:tcPr>
            <w:tcW w:type="dxa" w:w="1064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0.9605</w:t>
            </w:r>
          </w:p>
        </w:tc>
      </w:tr>
      <w:tr>
        <w:tc>
          <w:tcPr>
            <w:tcW w:type="dxa" w:w="1002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GastroNet</w:t>
            </w:r>
          </w:p>
        </w:tc>
        <w:tc>
          <w:tcPr>
            <w:tcW w:type="dxa" w:w="68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711</w:t>
            </w:r>
          </w:p>
        </w:tc>
        <w:tc>
          <w:tcPr>
            <w:tcW w:type="dxa" w:w="87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0.580</w:t>
            </w:r>
          </w:p>
        </w:tc>
        <w:tc>
          <w:tcPr>
            <w:tcW w:type="dxa" w:w="169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96.06% [94.5, 97.5]</w:t>
            </w:r>
          </w:p>
        </w:tc>
        <w:tc>
          <w:tcPr>
            <w:tcW w:type="dxa" w:w="175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94.49% [91.3, 97.2]</w:t>
            </w:r>
          </w:p>
        </w:tc>
        <w:tc>
          <w:tcPr>
            <w:tcW w:type="dxa" w:w="175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96.84% [95.1, 98.3]</w:t>
            </w:r>
          </w:p>
        </w:tc>
        <w:tc>
          <w:tcPr>
            <w:tcW w:type="dxa" w:w="1252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94.09%</w:t>
            </w:r>
          </w:p>
        </w:tc>
        <w:tc>
          <w:tcPr>
            <w:tcW w:type="dxa" w:w="1064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0.9906</w:t>
            </w:r>
          </w:p>
        </w:tc>
      </w:tr>
    </w:tbl>
    <w:p>
      <w:pPr>
        <w:sectPr>
          <w:type w:val="continuous"/>
          <w:pgSz w:w="12240" w:h="15840"/>
          <w:pgMar w:top="1080" w:right="900" w:bottom="1440" w:left="900" w:header="720" w:footer="720" w:gutter="0"/>
          <w:docGrid w:linePitch="360"/>
          <w:cols w:num="1" w:space="360" w:equalWidth="1"/>
        </w:sectPr>
      </w:pPr>
    </w:p>
    <w:p>
      <w:pPr>
        <w:keepNext/>
        <w:spacing w:before="160" w:after="40" w:line="240" w:lineRule="auto"/>
        <w:ind w:firstLine="0"/>
        <w:jc w:val="center"/>
      </w:pPr>
      <w:r>
        <w:rPr>
          <w:rFonts w:ascii="Times New Roman" w:hAnsi="Times New Roman"/>
          <w:smallCaps/>
          <w:sz w:val="15"/>
        </w:rPr>
        <w:t>TABLE VI</w:t>
      </w:r>
      <w:r>
        <w:rPr>
          <w:rFonts w:ascii="Times New Roman" w:hAnsi="Times New Roman"/>
          <w:sz w:val="15"/>
        </w:rPr>
        <w:br/>
        <w:t>TumorNet per-class performance (1,600 scans, 400 per class)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000000"/>
          <w:left w:val="none" w:sz="4" w:color="000000"/>
          <w:bottom w:val="single" w:sz="4" w:color="000000"/>
          <w:right w:val="none" w:sz="4" w:color="000000"/>
          <w:insideH w:val="none" w:sz="4" w:color="000000"/>
          <w:insideV w:val="none" w:sz="4" w:color="000000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171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Class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Recall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Precision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F1</w:t>
            </w:r>
          </w:p>
        </w:tc>
      </w:tr>
      <w:tr>
        <w:tc>
          <w:tcPr>
            <w:tcW w:type="dxa" w:w="1713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Glioma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83.00%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99.10%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90.34%</w:t>
            </w:r>
          </w:p>
        </w:tc>
      </w:tr>
      <w:tr>
        <w:tc>
          <w:tcPr>
            <w:tcW w:type="dxa" w:w="1713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Meningioma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97.50%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89.86%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93.53%</w:t>
            </w:r>
          </w:p>
        </w:tc>
      </w:tr>
      <w:tr>
        <w:tc>
          <w:tcPr>
            <w:tcW w:type="dxa" w:w="1713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 tumor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100.00%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93.24%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96.50%</w:t>
            </w:r>
          </w:p>
        </w:tc>
      </w:tr>
      <w:tr>
        <w:tc>
          <w:tcPr>
            <w:tcW w:type="dxa" w:w="1713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Pituitary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99.25%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98.76%</w:t>
            </w:r>
          </w:p>
        </w:tc>
        <w:tc>
          <w:tcPr>
            <w:tcW w:type="dxa" w:w="107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99.00%</w:t>
            </w:r>
          </w:p>
        </w:tc>
      </w:tr>
    </w:tbl>
    <w:p>
      <w:pPr>
        <w:keepNext/>
        <w:spacing w:before="16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92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ining_curves_multi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9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16"/>
        </w:rPr>
        <w:t>Fig. 2. Training and validation trajectories for the three modules (best-checkpoint validation accuracy/F1 shown in Table IV).</w:t>
      </w:r>
    </w:p>
    <w:p>
      <w:pPr>
        <w:keepNext/>
        <w:spacing w:before="16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08960" cy="1108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usion_matrices_multi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108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16"/>
        </w:rPr>
        <w:t>Fig. 3. Test confusion matrices: TumorNet (1,600 MRI), PneumoNet (624 CXR, τ = 0.780), GastroNet (711 frames, τ = 0.580).</w:t>
      </w:r>
    </w:p>
    <w:p>
      <w:pPr>
        <w:keepNext/>
        <w:spacing w:before="16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08960" cy="10832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c_curves_multi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083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16"/>
        </w:rPr>
        <w:t>Fig. 4. ROC curves on held-out test partitions (TumorNet OvR macro-AUC 0.9875; PneumoNet 0.9605; GastroNet 0.9906).</w:t>
      </w:r>
    </w:p>
    <w:p>
      <w:pPr>
        <w:keepNext/>
        <w:spacing w:before="16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77440" cy="2596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radcam_multi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596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16"/>
        </w:rPr>
        <w:t>Fig. 5. Representative Grad-CAM overlays (coarse 7×7 terminal map, upsampled): brain glioma, perihilar consolidation, and endoscopic mucosa.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B. Anatomical Shortcut Control and Remediation (SMNR)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In standard HyperKvasir, the negative landmarks (pylorus, retroflex stomach, cecum, retroflex rectum) are anatomically distinct from the lesion positives, so a classifier can learn organ site rather than mucosal pathology. We probed this with same-organ controls: frozen GastroNet scored 3.76% specificity on 932 normal esophageal Z-line frames and 8.45% on 1,148 clean bowel-prep colon frames (sensitivities on lesion-bearing controls are not valid held-out estimates because those lesion frames participate in training).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Disjointness guarantee. The 932 Z-line frames are absent from the training negatives by construction (different folders), which we verified by hashing: no Z-line frame is within distance T ≤ 20 of any of the 3,163 training negatives under the content-cropped 256-bit descriptor. To remediate without leakage, we clustered the 932 Z-line frames (932 distinct clusters at T ≤ 12) and split clusters in half (seed 42): 466 frames entered the SMNR negative pool and a disjoint 466 frames were held out as the control. No held-out frame is within T ≤ 12 of any SMNR training negative (minimum distance 118).</w:t>
      </w:r>
    </w:p>
    <w:p>
      <w:pPr>
        <w:sectPr>
          <w:type w:val="continuous"/>
          <w:pgSz w:w="12240" w:h="15840"/>
          <w:pgMar w:top="1080" w:right="900" w:bottom="1440" w:left="900" w:header="720" w:footer="720" w:gutter="0"/>
          <w:docGrid w:linePitch="360"/>
          <w:cols w:num="2" w:space="360" w:equalWidth="1"/>
        </w:sectPr>
      </w:pPr>
    </w:p>
    <w:p>
      <w:pPr>
        <w:keepNext/>
        <w:spacing w:before="160" w:after="40" w:line="240" w:lineRule="auto"/>
        <w:ind w:firstLine="0"/>
        <w:jc w:val="center"/>
      </w:pPr>
      <w:r>
        <w:rPr>
          <w:rFonts w:ascii="Times New Roman" w:hAnsi="Times New Roman"/>
          <w:smallCaps/>
          <w:sz w:val="15"/>
        </w:rPr>
        <w:t>TABLE VII</w:t>
      </w:r>
      <w:r>
        <w:rPr>
          <w:rFonts w:ascii="Times New Roman" w:hAnsi="Times New Roman"/>
          <w:sz w:val="15"/>
        </w:rPr>
        <w:br/>
        <w:t>Site-matched negative regularization (SMNR) control experiment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000000"/>
          <w:left w:val="none" w:sz="4" w:color="000000"/>
          <w:bottom w:val="single" w:sz="4" w:color="000000"/>
          <w:right w:val="none" w:sz="4" w:color="000000"/>
          <w:insideH w:val="none" w:sz="4" w:color="000000"/>
          <w:insideV w:val="none" w:sz="4" w:color="000000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161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Configuration</w:t>
            </w:r>
          </w:p>
        </w:tc>
        <w:tc>
          <w:tcPr>
            <w:tcW w:type="dxa" w:w="2688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Negative pool</w:t>
            </w:r>
          </w:p>
        </w:tc>
        <w:tc>
          <w:tcPr>
            <w:tcW w:type="dxa" w:w="241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Control set (held-out)</w:t>
            </w:r>
          </w:p>
        </w:tc>
        <w:tc>
          <w:tcPr>
            <w:tcW w:type="dxa" w:w="161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Control specificity</w:t>
            </w:r>
          </w:p>
        </w:tc>
        <w:tc>
          <w:tcPr>
            <w:tcW w:type="dxa" w:w="174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Primary test sensitivity</w:t>
            </w:r>
          </w:p>
        </w:tc>
      </w:tr>
      <w:tr>
        <w:tc>
          <w:tcPr>
            <w:tcW w:type="dxa" w:w="1613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GastroNet (standard)</w:t>
            </w:r>
          </w:p>
        </w:tc>
        <w:tc>
          <w:tcPr>
            <w:tcW w:type="dxa" w:w="2688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3,163 landmarks (no Z-line)</w:t>
            </w:r>
          </w:p>
        </w:tc>
        <w:tc>
          <w:tcPr>
            <w:tcW w:type="dxa" w:w="241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932 Z-line (all unseen)</w:t>
            </w:r>
          </w:p>
        </w:tc>
        <w:tc>
          <w:tcPr>
            <w:tcW w:type="dxa" w:w="161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3.76%</w:t>
            </w:r>
          </w:p>
        </w:tc>
        <w:tc>
          <w:tcPr>
            <w:tcW w:type="dxa" w:w="174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94.49%</w:t>
            </w:r>
          </w:p>
        </w:tc>
      </w:tr>
      <w:tr>
        <w:tc>
          <w:tcPr>
            <w:tcW w:type="dxa" w:w="1613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GastroNet + SMNR</w:t>
            </w:r>
          </w:p>
        </w:tc>
        <w:tc>
          <w:tcPr>
            <w:tcW w:type="dxa" w:w="2688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3,163 landmarks + 466 disjoint Z-line</w:t>
            </w:r>
          </w:p>
        </w:tc>
        <w:tc>
          <w:tcPr>
            <w:tcW w:type="dxa" w:w="241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466 Z-line (disjoint, N = 466)</w:t>
            </w:r>
          </w:p>
        </w:tc>
        <w:tc>
          <w:tcPr>
            <w:tcW w:type="dxa" w:w="1613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81.42%</w:t>
            </w:r>
          </w:p>
        </w:tc>
        <w:tc>
          <w:tcPr>
            <w:tcW w:type="dxa" w:w="174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94.07%</w:t>
            </w:r>
          </w:p>
        </w:tc>
      </w:tr>
    </w:tbl>
    <w:p>
      <w:pPr>
        <w:sectPr>
          <w:type w:val="continuous"/>
          <w:pgSz w:w="12240" w:h="15840"/>
          <w:pgMar w:top="1080" w:right="900" w:bottom="1440" w:left="900" w:header="720" w:footer="720" w:gutter="0"/>
          <w:docGrid w:linePitch="360"/>
          <w:cols w:num="1" w:space="360" w:equalWidth="1"/>
        </w:sectPr>
      </w:pPr>
    </w:p>
    <w:p>
      <w:pPr>
        <w:spacing w:before="60" w:after="1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14"/>
        </w:rPr>
        <w:t>Because the 466-frame SMNR negative set and the 466-frame control set share no near-duplicate (min. descriptor distance 118), the reported control specificity is a genuine held-out estimate rather than train-on-test.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C. Clean-Split Retraining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DualPathNet, ResNet-18 [18], and ResNet-50 [18] were retrained from random initialization on the de-duplicated training splits under the identical protocol (Table IV), and binary thresholds were re-selected on the clean validation partition under the constraint min(sensitivity, specificity) ≥ 0.90. Table VIII contrasts the frozen contaminated-trained model with clean-split retraining.</w:t>
      </w:r>
    </w:p>
    <w:p>
      <w:pPr>
        <w:sectPr>
          <w:type w:val="continuous"/>
          <w:pgSz w:w="12240" w:h="15840"/>
          <w:pgMar w:top="1080" w:right="900" w:bottom="1440" w:left="900" w:header="720" w:footer="720" w:gutter="0"/>
          <w:docGrid w:linePitch="360"/>
          <w:cols w:num="2" w:space="360" w:equalWidth="1"/>
        </w:sectPr>
      </w:pPr>
    </w:p>
    <w:p>
      <w:pPr>
        <w:keepNext/>
        <w:spacing w:before="160" w:after="40" w:line="240" w:lineRule="auto"/>
        <w:ind w:firstLine="0"/>
        <w:jc w:val="center"/>
      </w:pPr>
      <w:r>
        <w:rPr>
          <w:rFonts w:ascii="Times New Roman" w:hAnsi="Times New Roman"/>
          <w:smallCaps/>
          <w:sz w:val="15"/>
        </w:rPr>
        <w:t>TABLE VIII</w:t>
      </w:r>
      <w:r>
        <w:rPr>
          <w:rFonts w:ascii="Times New Roman" w:hAnsi="Times New Roman"/>
          <w:sz w:val="15"/>
        </w:rPr>
        <w:br/>
        <w:t>Contaminated vs. clean-split retraining (frozen = trained on the original split and evaluated on the clean test set; retrained = trained on the de-duplicated training split)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000000"/>
          <w:left w:val="none" w:sz="4" w:color="000000"/>
          <w:bottom w:val="single" w:sz="4" w:color="000000"/>
          <w:right w:val="none" w:sz="4" w:color="000000"/>
          <w:insideH w:val="none" w:sz="4" w:color="000000"/>
          <w:insideV w:val="none" w:sz="4" w:color="000000"/>
        </w:tblBorders>
      </w:tblPr>
      <w:tblGrid>
        <w:gridCol w:w="1491"/>
        <w:gridCol w:w="1491"/>
        <w:gridCol w:w="1491"/>
        <w:gridCol w:w="1491"/>
        <w:gridCol w:w="1491"/>
        <w:gridCol w:w="1491"/>
        <w:gridCol w:w="1491"/>
      </w:tblGrid>
      <w:tr>
        <w:tc>
          <w:tcPr>
            <w:tcW w:type="dxa" w:w="219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Model</w:t>
            </w:r>
          </w:p>
        </w:tc>
        <w:tc>
          <w:tcPr>
            <w:tcW w:type="dxa" w:w="146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Modality</w:t>
            </w:r>
          </w:p>
        </w:tc>
        <w:tc>
          <w:tcPr>
            <w:tcW w:type="dxa" w:w="116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Clean test N</w:t>
            </w:r>
          </w:p>
        </w:tc>
        <w:tc>
          <w:tcPr>
            <w:tcW w:type="dxa" w:w="1315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Accuracy</w:t>
            </w:r>
          </w:p>
        </w:tc>
        <w:tc>
          <w:tcPr>
            <w:tcW w:type="dxa" w:w="160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Sens/Spec</w:t>
            </w:r>
          </w:p>
        </w:tc>
        <w:tc>
          <w:tcPr>
            <w:tcW w:type="dxa" w:w="146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F1 / macro-F1</w:t>
            </w:r>
          </w:p>
        </w:tc>
        <w:tc>
          <w:tcPr>
            <w:tcW w:type="dxa" w:w="87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τ</w:t>
            </w:r>
          </w:p>
        </w:tc>
      </w:tr>
      <w:tr>
        <w:tc>
          <w:tcPr>
            <w:tcW w:type="dxa" w:w="2191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DualPathNet (frozen)</w:t>
            </w:r>
          </w:p>
        </w:tc>
        <w:tc>
          <w:tcPr>
            <w:tcW w:type="dxa" w:w="146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Brain MRI</w:t>
            </w:r>
          </w:p>
        </w:tc>
        <w:tc>
          <w:tcPr>
            <w:tcW w:type="dxa" w:w="116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1412</w:t>
            </w:r>
          </w:p>
        </w:tc>
        <w:tc>
          <w:tcPr>
            <w:tcW w:type="dxa" w:w="1315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94.5%</w:t>
            </w:r>
          </w:p>
        </w:tc>
        <w:tc>
          <w:tcPr>
            <w:tcW w:type="dxa" w:w="160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—</w:t>
            </w:r>
          </w:p>
        </w:tc>
        <w:tc>
          <w:tcPr>
            <w:tcW w:type="dxa" w:w="146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94.3%</w:t>
            </w:r>
          </w:p>
        </w:tc>
        <w:tc>
          <w:tcPr>
            <w:tcW w:type="dxa" w:w="87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argmax</w:t>
            </w:r>
          </w:p>
        </w:tc>
      </w:tr>
      <w:tr>
        <w:tc>
          <w:tcPr>
            <w:tcW w:type="dxa" w:w="2191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DualPathNet (frozen)</w:t>
            </w:r>
          </w:p>
        </w:tc>
        <w:tc>
          <w:tcPr>
            <w:tcW w:type="dxa" w:w="146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Pediatric CXR</w:t>
            </w:r>
          </w:p>
        </w:tc>
        <w:tc>
          <w:tcPr>
            <w:tcW w:type="dxa" w:w="116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624</w:t>
            </w:r>
          </w:p>
        </w:tc>
        <w:tc>
          <w:tcPr>
            <w:tcW w:type="dxa" w:w="1315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89.1%</w:t>
            </w:r>
          </w:p>
        </w:tc>
        <w:tc>
          <w:tcPr>
            <w:tcW w:type="dxa" w:w="160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94.4%/80.3%</w:t>
            </w:r>
          </w:p>
        </w:tc>
        <w:tc>
          <w:tcPr>
            <w:tcW w:type="dxa" w:w="146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91.5%</w:t>
            </w:r>
          </w:p>
        </w:tc>
        <w:tc>
          <w:tcPr>
            <w:tcW w:type="dxa" w:w="87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0.725</w:t>
            </w:r>
          </w:p>
        </w:tc>
      </w:tr>
      <w:tr>
        <w:tc>
          <w:tcPr>
            <w:tcW w:type="dxa" w:w="2191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DualPathNet (frozen)</w:t>
            </w:r>
          </w:p>
        </w:tc>
        <w:tc>
          <w:tcPr>
            <w:tcW w:type="dxa" w:w="146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Endoscopy</w:t>
            </w:r>
          </w:p>
        </w:tc>
        <w:tc>
          <w:tcPr>
            <w:tcW w:type="dxa" w:w="1169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708</w:t>
            </w:r>
          </w:p>
        </w:tc>
        <w:tc>
          <w:tcPr>
            <w:tcW w:type="dxa" w:w="1315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96.0%</w:t>
            </w:r>
          </w:p>
        </w:tc>
        <w:tc>
          <w:tcPr>
            <w:tcW w:type="dxa" w:w="160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91.9%/98.1%</w:t>
            </w:r>
          </w:p>
        </w:tc>
        <w:tc>
          <w:tcPr>
            <w:tcW w:type="dxa" w:w="1461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93.9%</w:t>
            </w:r>
          </w:p>
        </w:tc>
        <w:tc>
          <w:tcPr>
            <w:tcW w:type="dxa" w:w="877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3"/>
              </w:rPr>
              <w:t>0.650</w:t>
            </w:r>
          </w:p>
        </w:tc>
      </w:tr>
    </w:tbl>
    <w:p>
      <w:pPr>
        <w:sectPr>
          <w:type w:val="continuous"/>
          <w:pgSz w:w="12240" w:h="15840"/>
          <w:pgMar w:top="1080" w:right="900" w:bottom="1440" w:left="900" w:header="720" w:footer="720" w:gutter="0"/>
          <w:docGrid w:linePitch="360"/>
          <w:cols w:num="1" w:space="360" w:equalWidth="1"/>
        </w:sectPr>
      </w:pPr>
    </w:p>
    <w:p>
      <w:pPr>
        <w:spacing w:before="60" w:after="1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14"/>
        </w:rPr>
        <w:t>Frozen reference on the original (contaminated) test sets: TumorNet 95.00% (N = 1,600), PneumoNet 90.06% (N = 624, τ = 0.780), GastroNet 96.06% (N = 711, τ = 0.580). Clean-test thresholds are re-selected on the clean validation partition; for MRI the decision is argmax.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D. External Out-of-Distribution Validation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Frozen models were evaluated zero-shot on the external cohorts of Table II: RSNA Pneumonia 84.60% accuracy / 0.9120 AUC (N = 500), BraTS 2020 87.25% accuracy / 0.9345 AUC (N = 400), and Kvasir-Capsule 83.33% accuracy / 0.8872 AUC (N = 300). These declines (−5.5, −7.8, and −12.7 percentage points relative to the internal tests) reflect the label mapping and domain mismatch described in Table II rather than any fine-tuning.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E. Calibration and Explanation Faithfulness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Post-hoc temperature scaling on validation logits reduced test expected calibration error from 6.82% to 4.15% (TumorNet), 14.21% to 10.07% (PneumoNet), and 21.84% to 17.57% (GastroNet); residual ECE remains non-negligible, so the dashboard labels confidences as heuristic rather than calibrated probabilities. Grad-CAM faithfulness was quantified by deletion/insertion curves (AUDC/AUIC) against a random-saliency baseline: TumorNet 0.284/0.742, PneumoNet 0.312/0.718, GastroNet 0.265/0.769, all significantly faster than random (p &lt; 0.001, Wilcoxon). The 7×7 terminal map limits heatmaps to coarse regional localization.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F. Latency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On a 12-thread CPU, single forward-pass latency is 241–246 ms and end-to-end API latency with Grad-CAM averages 282 ms (≈4.1 FPS), sufficient for asynchronous static-image triage but not real-time video endoscopy.</w:t>
      </w:r>
    </w:p>
    <w:p>
      <w:pPr>
        <w:keepNext/>
        <w:spacing w:before="200" w:after="80" w:line="240" w:lineRule="auto"/>
        <w:ind w:firstLine="0"/>
        <w:jc w:val="center"/>
      </w:pPr>
      <w:r>
        <w:rPr>
          <w:rFonts w:ascii="Times New Roman" w:hAnsi="Times New Roman"/>
          <w:b w:val="0"/>
          <w:smallCaps/>
          <w:sz w:val="20"/>
        </w:rPr>
        <w:t>VII. COMPARISON WITH LITERATURE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Table IX summarizes published results. Literature figures come from disparate splits and protocols and are not head-to-head comparable; DualPathNet is the only entry additionally reporting a leakage audit and shortcut control.</w:t>
      </w:r>
    </w:p>
    <w:p>
      <w:pPr>
        <w:sectPr>
          <w:type w:val="continuous"/>
          <w:pgSz w:w="12240" w:h="15840"/>
          <w:pgMar w:top="1080" w:right="900" w:bottom="1440" w:left="900" w:header="720" w:footer="720" w:gutter="0"/>
          <w:docGrid w:linePitch="360"/>
          <w:cols w:num="2" w:space="360" w:equalWidth="1"/>
        </w:sectPr>
      </w:pPr>
    </w:p>
    <w:p>
      <w:pPr>
        <w:keepNext/>
        <w:spacing w:before="160" w:after="40" w:line="240" w:lineRule="auto"/>
        <w:ind w:firstLine="0"/>
        <w:jc w:val="center"/>
      </w:pPr>
      <w:r>
        <w:rPr>
          <w:rFonts w:ascii="Times New Roman" w:hAnsi="Times New Roman"/>
          <w:smallCaps/>
          <w:sz w:val="15"/>
        </w:rPr>
        <w:t>TABLE IX</w:t>
      </w:r>
      <w:r>
        <w:rPr>
          <w:rFonts w:ascii="Times New Roman" w:hAnsi="Times New Roman"/>
          <w:sz w:val="15"/>
        </w:rPr>
        <w:br/>
        <w:t>Representative published benchmarks (not directly comparable)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000000"/>
          <w:left w:val="none" w:sz="4" w:color="000000"/>
          <w:bottom w:val="single" w:sz="4" w:color="000000"/>
          <w:right w:val="none" w:sz="4" w:color="000000"/>
          <w:insideH w:val="none" w:sz="4" w:color="000000"/>
          <w:insideV w:val="none" w:sz="4" w:color="000000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Domain</w:t>
            </w:r>
          </w:p>
        </w:tc>
        <w:tc>
          <w:tcPr>
            <w:tcW w:type="dxa" w:w="11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Reference</w:t>
            </w:r>
          </w:p>
        </w:tc>
        <w:tc>
          <w:tcPr>
            <w:tcW w:type="dxa" w:w="248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Architecture</w:t>
            </w:r>
          </w:p>
        </w:tc>
        <w:tc>
          <w:tcPr>
            <w:tcW w:type="dxa" w:w="104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Classes</w:t>
            </w:r>
          </w:p>
        </w:tc>
        <w:tc>
          <w:tcPr>
            <w:tcW w:type="dxa" w:w="240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Reported metric</w:t>
            </w:r>
          </w:p>
        </w:tc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Explainability</w:t>
            </w:r>
          </w:p>
        </w:tc>
      </w:tr>
      <w:tr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Brain MRI</w:t>
            </w:r>
          </w:p>
        </w:tc>
        <w:tc>
          <w:tcPr>
            <w:tcW w:type="dxa" w:w="11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[4]</w:t>
            </w:r>
          </w:p>
        </w:tc>
        <w:tc>
          <w:tcPr>
            <w:tcW w:type="dxa" w:w="248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DenseNet201 + InceptionV3</w:t>
            </w:r>
          </w:p>
        </w:tc>
        <w:tc>
          <w:tcPr>
            <w:tcW w:type="dxa" w:w="104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240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Acc 94.34%</w:t>
            </w:r>
          </w:p>
        </w:tc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Brain MRI</w:t>
            </w:r>
          </w:p>
        </w:tc>
        <w:tc>
          <w:tcPr>
            <w:tcW w:type="dxa" w:w="11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[30]</w:t>
            </w:r>
          </w:p>
        </w:tc>
        <w:tc>
          <w:tcPr>
            <w:tcW w:type="dxa" w:w="248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Efficient CNN</w:t>
            </w:r>
          </w:p>
        </w:tc>
        <w:tc>
          <w:tcPr>
            <w:tcW w:type="dxa" w:w="104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240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Acc 96.56%</w:t>
            </w:r>
          </w:p>
        </w:tc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Brain MRI</w:t>
            </w:r>
          </w:p>
        </w:tc>
        <w:tc>
          <w:tcPr>
            <w:tcW w:type="dxa" w:w="11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Ours</w:t>
            </w:r>
          </w:p>
        </w:tc>
        <w:tc>
          <w:tcPr>
            <w:tcW w:type="dxa" w:w="248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DualPathNet + CBAM</w:t>
            </w:r>
          </w:p>
        </w:tc>
        <w:tc>
          <w:tcPr>
            <w:tcW w:type="dxa" w:w="104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240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Acc 95.00% (test)</w:t>
            </w:r>
          </w:p>
        </w:tc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Grad-CAM</w:t>
            </w:r>
          </w:p>
        </w:tc>
      </w:tr>
      <w:tr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Pediatric CXR</w:t>
            </w:r>
          </w:p>
        </w:tc>
        <w:tc>
          <w:tcPr>
            <w:tcW w:type="dxa" w:w="11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[6]</w:t>
            </w:r>
          </w:p>
        </w:tc>
        <w:tc>
          <w:tcPr>
            <w:tcW w:type="dxa" w:w="248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Standard CNN</w:t>
            </w:r>
          </w:p>
        </w:tc>
        <w:tc>
          <w:tcPr>
            <w:tcW w:type="dxa" w:w="104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240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Acc 92.80%</w:t>
            </w:r>
          </w:p>
        </w:tc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Pediatric CXR</w:t>
            </w:r>
          </w:p>
        </w:tc>
        <w:tc>
          <w:tcPr>
            <w:tcW w:type="dxa" w:w="11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[16]</w:t>
            </w:r>
          </w:p>
        </w:tc>
        <w:tc>
          <w:tcPr>
            <w:tcW w:type="dxa" w:w="248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PneuX-Net</w:t>
            </w:r>
          </w:p>
        </w:tc>
        <w:tc>
          <w:tcPr>
            <w:tcW w:type="dxa" w:w="104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240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Acc 95.10%, AUC 0.987</w:t>
            </w:r>
          </w:p>
        </w:tc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Heatmaps</w:t>
            </w:r>
          </w:p>
        </w:tc>
      </w:tr>
      <w:tr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Pediatric CXR</w:t>
            </w:r>
          </w:p>
        </w:tc>
        <w:tc>
          <w:tcPr>
            <w:tcW w:type="dxa" w:w="11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Ours</w:t>
            </w:r>
          </w:p>
        </w:tc>
        <w:tc>
          <w:tcPr>
            <w:tcW w:type="dxa" w:w="248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DualPathNet + CBAM</w:t>
            </w:r>
          </w:p>
        </w:tc>
        <w:tc>
          <w:tcPr>
            <w:tcW w:type="dxa" w:w="104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240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Acc 90.06% (test)</w:t>
            </w:r>
          </w:p>
        </w:tc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Grad-CAM</w:t>
            </w:r>
          </w:p>
        </w:tc>
      </w:tr>
      <w:tr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Endoscopy</w:t>
            </w:r>
          </w:p>
        </w:tc>
        <w:tc>
          <w:tcPr>
            <w:tcW w:type="dxa" w:w="11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[22]</w:t>
            </w:r>
          </w:p>
        </w:tc>
        <w:tc>
          <w:tcPr>
            <w:tcW w:type="dxa" w:w="248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Gastro-AI attention</w:t>
            </w:r>
          </w:p>
        </w:tc>
        <w:tc>
          <w:tcPr>
            <w:tcW w:type="dxa" w:w="104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240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Acc 95.80%</w:t>
            </w:r>
          </w:p>
        </w:tc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Saliency</w:t>
            </w:r>
          </w:p>
        </w:tc>
      </w:tr>
      <w:tr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Endoscopy</w:t>
            </w:r>
          </w:p>
        </w:tc>
        <w:tc>
          <w:tcPr>
            <w:tcW w:type="dxa" w:w="11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Ours</w:t>
            </w:r>
          </w:p>
        </w:tc>
        <w:tc>
          <w:tcPr>
            <w:tcW w:type="dxa" w:w="248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DualPathNet + CBAM</w:t>
            </w:r>
          </w:p>
        </w:tc>
        <w:tc>
          <w:tcPr>
            <w:tcW w:type="dxa" w:w="104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240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Acc 96.06% (test)</w:t>
            </w:r>
          </w:p>
        </w:tc>
        <w:tc>
          <w:tcPr>
            <w:tcW w:type="dxa" w:w="1520"/>
          </w:tcPr>
          <w:p>
            <w:pPr>
              <w:spacing w:before="30" w:after="3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Grad-CAM</w:t>
            </w:r>
          </w:p>
        </w:tc>
      </w:tr>
    </w:tbl>
    <w:p>
      <w:pPr>
        <w:sectPr>
          <w:type w:val="continuous"/>
          <w:pgSz w:w="12240" w:h="15840"/>
          <w:pgMar w:top="1080" w:right="900" w:bottom="1440" w:left="900" w:header="720" w:footer="720" w:gutter="0"/>
          <w:docGrid w:linePitch="360"/>
          <w:cols w:num="1" w:space="360" w:equalWidth="1"/>
        </w:sectPr>
      </w:pPr>
    </w:p>
    <w:p>
      <w:pPr>
        <w:keepNext/>
        <w:spacing w:before="200" w:after="80" w:line="240" w:lineRule="auto"/>
        <w:ind w:firstLine="0"/>
        <w:jc w:val="center"/>
      </w:pPr>
      <w:r>
        <w:rPr>
          <w:rFonts w:ascii="Times New Roman" w:hAnsi="Times New Roman"/>
          <w:b w:val="0"/>
          <w:smallCaps/>
          <w:sz w:val="20"/>
        </w:rPr>
        <w:t>VIII. DISCUSSION AND LIMITATIONS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A. Limitations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1) Decision-support scope: MediScan is a triage prototype; final responsibility rests with clinicians, and risk tiers are confidence brackets, not validated risk scores.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2) Slice-level splitting: Brain MRI has no patient manifest, so the split is 2-D slice level and cannot rule out residual same-exam overlap; Kermany filename-prefix overlap (up to 84.13% presumptive) remains unverified against hospital records.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3) External validation is subset-limited and label-mapped, not prospective multi-centre: each external result (Table II) uses a single fixed seed-42 subset with a hand-specified label mapping, and none originates from the target deployment region (no Indian multi-centre cohort). These results measure out-of-distribution transfer, not clinical generalization to local populations.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4) Explainability resolution: Grad-CAM attaches to a 7×7 map; upsampling yields coarse regional localization without fine margin precision, and no clinician reader study evaluates automation-bias mitigation.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5) Throughput: ≈4.1 FPS on CPU suits asynchronous triage but not real-time video endoscopy.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6) Clean-split retraining scope: clean-split retraining was performed only for DualPathNet and two transfer-free baselines (ResNet-18, ResNet-50) under a single seed; DenseNet, EfficientNet, and ConvNeXt baselines were benchmarked for latency only, and cross-seed variance was not assessed. The clean-split results therefore bound, but do not fully characterize, the effect of de-duplication across architectures.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7) Single-run reporting: headline metrics reflect single-seed checkpoints (Table IV); cross-seed variance was not evaluated.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8) Presumptive patient-level overlap in CXR: filename-prefix matching was not verified against primary records.</w:t>
      </w:r>
    </w:p>
    <w:p>
      <w:pPr>
        <w:keepNext/>
        <w:spacing w:before="140" w:after="60" w:line="240" w:lineRule="auto"/>
        <w:ind w:firstLine="288"/>
        <w:jc w:val="left"/>
      </w:pPr>
      <w:r>
        <w:rPr>
          <w:rFonts w:ascii="Times New Roman" w:hAnsi="Times New Roman"/>
          <w:b w:val="0"/>
          <w:i/>
          <w:sz w:val="20"/>
        </w:rPr>
        <w:t>B. Fine-Grained Error Analysis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TumorNet’s dominant error is glioma→meningioma confusion (42 of 400), consistent with shared necrosis/edema texture; pituitary (99.25% recall) and no-tumor (100% recall) are near-saturated. PneumoNet’s 39 false negatives concentrate in faint sub-segmental opacities and its 23 false alarms in low-volume lungs with crowded bronchovascular markings. GastroNet’s 13 false negatives and 15 false alarms reflect landmark-level ambiguity rather than specific lesion morphology, given the shortcut findings.</w:t>
      </w:r>
    </w:p>
    <w:p>
      <w:pPr>
        <w:keepNext/>
        <w:spacing w:before="200" w:after="80" w:line="240" w:lineRule="auto"/>
        <w:ind w:firstLine="0"/>
        <w:jc w:val="center"/>
      </w:pPr>
      <w:r>
        <w:rPr>
          <w:rFonts w:ascii="Times New Roman" w:hAnsi="Times New Roman"/>
          <w:b w:val="0"/>
          <w:smallCaps/>
          <w:sz w:val="20"/>
        </w:rPr>
        <w:t>IX. CONCLUSION AND FUTURE WORK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We audited three public imaging benchmarks for partition leakage and shortcut learning. A corrected perceptual descriptor shows the widely reported near-duplicate rates were inflated by uniform backgrounds, and that the defensible cross-split near-duplicate rate is 11.8% for brain MRI, 0.0% for pediatric CXR, and 0.42% for endoscopy; retraining on de-duplicated splits shifts headline accuracy only modestly, indicating the original metrics were roughly sound but not leakage-free. Same-organ controls confirmed an anatomical shortcut in endoscopy, which site-matched negative regularization remediates on a verifiably disjoint control set. External evaluation shows expected out-of-distribution decline. These results support de-duplication, shortcut auditing, and patient-level partitioning as prudent—not merely cosmetic—steps toward trustworthy clinical translation, and motivate prospective multi-centre validation and cross-seed robustness studies as the immediate next steps.</w:t>
      </w:r>
    </w:p>
    <w:p>
      <w:pPr>
        <w:keepNext/>
        <w:spacing w:before="200" w:after="80" w:line="240" w:lineRule="auto"/>
        <w:ind w:firstLine="0"/>
        <w:jc w:val="center"/>
      </w:pPr>
      <w:r>
        <w:rPr>
          <w:rFonts w:ascii="Times New Roman" w:hAnsi="Times New Roman"/>
          <w:b w:val="0"/>
          <w:smallCaps/>
          <w:sz w:val="20"/>
        </w:rPr>
        <w:t>DATA AND CODE AVAILABILITY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Code, evaluation scripts, checkpoints, and audit manifests (filenames, hashes, and cross-partition flags) are archived at github.com/Aditya-Yashovardhan/MediScan under results/manifests/.</w:t>
      </w:r>
    </w:p>
    <w:p>
      <w:pPr>
        <w:keepNext/>
        <w:spacing w:before="200" w:after="80" w:line="240" w:lineRule="auto"/>
        <w:ind w:firstLine="0"/>
        <w:jc w:val="center"/>
      </w:pPr>
      <w:r>
        <w:rPr>
          <w:rFonts w:ascii="Times New Roman" w:hAnsi="Times New Roman"/>
          <w:b w:val="0"/>
          <w:smallCaps/>
          <w:sz w:val="20"/>
        </w:rPr>
        <w:t>REFERENCES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[1] </w:t>
      </w:r>
      <w:r>
        <w:rPr>
          <w:rFonts w:ascii="Times New Roman" w:hAnsi="Times New Roman"/>
          <w:sz w:val="16"/>
        </w:rPr>
        <w:t>W. Khan, N. Zaki, and L. Ali, “Intelligent pneumonia identification from chest X-rays: A systematic literature review,” IEEE Access, vol. 9, pp. 51 747–51 771, 2021.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[2] </w:t>
      </w:r>
      <w:r>
        <w:rPr>
          <w:rFonts w:ascii="Times New Roman" w:hAnsi="Times New Roman"/>
          <w:sz w:val="16"/>
        </w:rPr>
        <w:t>S. Solanki, U. P. Singh, S. S. Chouhan, and S. Jain, “Brain tumor detection and classification using intelligence techniques: An overview,” IEEE Access, vol. 11, pp. 12 870–12 886, 2023.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[3] </w:t>
      </w:r>
      <w:r>
        <w:rPr>
          <w:rFonts w:ascii="Times New Roman" w:hAnsi="Times New Roman"/>
          <w:sz w:val="16"/>
        </w:rPr>
        <w:t>J.-Y. Sun, S.-W. Lee, M.-C. Kang, S.-W. Kim, S.-Y. Kim, and S.-J. Ko, “A novel gastric ulcer differentiation system using convolutional neural networks,” Proc. IEEE 31st Int. Symp. Comput.-Based Med. Syst. (CBMS), pp. 351–356, 2018.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[4] </w:t>
      </w:r>
      <w:r>
        <w:rPr>
          <w:rFonts w:ascii="Times New Roman" w:hAnsi="Times New Roman"/>
          <w:sz w:val="16"/>
        </w:rPr>
        <w:t>N. Noreen, S. Palaniappan, A. Qayyum, I. Ahmad, M. Imran, and M. Shoaib, “A deep learning model based on concatenation approach for the diagnosis of brain tumor,” IEEE Access, vol. 8, pp. 55 135–55 144, 2020.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[5] </w:t>
      </w:r>
      <w:r>
        <w:rPr>
          <w:rFonts w:ascii="Times New Roman" w:hAnsi="Times New Roman"/>
          <w:sz w:val="16"/>
        </w:rPr>
        <w:t>S. Budhiraja and N. Batra, “Deep learning based approaches for gastric cancer detection and lesion segmentation in gastrointestinal endoscopy images,” Proc. IEEE Int. Conf. Adv. Comput. Commun. Control, pp. 1–6, 2023.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[6] </w:t>
      </w:r>
      <w:r>
        <w:rPr>
          <w:rFonts w:ascii="Times New Roman" w:hAnsi="Times New Roman"/>
          <w:sz w:val="16"/>
        </w:rPr>
        <w:t>S. Sharma and K. Guleria, “A deep learning based model for the detection of pneumonia from chest X-ray images using VGG-16 and neural networks,” Procedia Comput. Sci., vol. 218, pp. 357–366, 2023.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[7] </w:t>
      </w:r>
      <w:r>
        <w:rPr>
          <w:rFonts w:ascii="Times New Roman" w:hAnsi="Times New Roman"/>
          <w:sz w:val="16"/>
        </w:rPr>
        <w:t>P. Agrawal and S. Gandhi, “PneumoSense++: An enhanced pneumonia detection with deep learning and comparative optimizer analysis,” Procedia Comput. Sci., vol. 283, pp. 3407–3423, 2026.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[8] </w:t>
      </w:r>
      <w:r>
        <w:rPr>
          <w:rFonts w:ascii="Times New Roman" w:hAnsi="Times New Roman"/>
          <w:sz w:val="16"/>
        </w:rPr>
        <w:t>M. Ali et al., “Pneumonia detection using chest radiographs with novel EfficientNetV2L model,” IEEE Access, vol. 12, pp. 24 456–24 467, 2024.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[9] </w:t>
      </w:r>
      <w:r>
        <w:rPr>
          <w:rFonts w:ascii="Times New Roman" w:hAnsi="Times New Roman"/>
          <w:sz w:val="16"/>
        </w:rPr>
        <w:t>S. Hatami, M. H. Olyaei, and R. Shamsaee, “Detection and classification of gastric precancerous diseases using deep learning,” Proc. 6th Iranian Conf. Signal Process. Intell. Syst. (ICSPIS), pp. 1–5, 2020.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[10] </w:t>
      </w:r>
      <w:r>
        <w:rPr>
          <w:rFonts w:ascii="Times New Roman" w:hAnsi="Times New Roman"/>
          <w:sz w:val="16"/>
        </w:rPr>
        <w:t>D. Li and S. Li, “An artificial intelligence deep learning platform achieves high diagnostic accuracy for Covid-19 pneumonia by reading chest X-ray images,” iScience, vol. 25, p. 104031, 2022.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[11] </w:t>
      </w:r>
      <w:r>
        <w:rPr>
          <w:rFonts w:ascii="Times New Roman" w:hAnsi="Times New Roman"/>
          <w:sz w:val="16"/>
        </w:rPr>
        <w:t>J. Cheng, W. Yang, M. Huang, W. Huang, J. Jiang, Y. Zhou et al., “Retrieval of brain tumors by adaptive spatial pooling and Fisher vector representation,” PLOS ONE, vol. 11, no. 6, p. e0157112, 2016.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[12] </w:t>
      </w:r>
      <w:r>
        <w:rPr>
          <w:rFonts w:ascii="Times New Roman" w:hAnsi="Times New Roman"/>
          <w:sz w:val="16"/>
        </w:rPr>
        <w:t>M. Rizwan, A. Shabbir, A. R. Javed, M. Shabbir, T. Baker, and D. Al-Jumeily Obe, “Brain tumor and glioma grade classification using Gaussian convolutional neural network,” IEEE Access, vol. 10, pp. 29 731–29 740, 2022.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[13] </w:t>
      </w:r>
      <w:r>
        <w:rPr>
          <w:rFonts w:ascii="Times New Roman" w:hAnsi="Times New Roman"/>
          <w:sz w:val="16"/>
        </w:rPr>
        <w:t>R. R. Selvaraju, M. Cogswell, A. Das, R. Vedantam, D. Parikh, and D. Batra, “Grad-CAM: Visual explanations from deep networks via gradient-based localization,” in Proc. IEEE Int. Conf. Comput. Vis. (ICCV), 2017, pp. 618–626.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[14] </w:t>
      </w:r>
      <w:r>
        <w:rPr>
          <w:rFonts w:ascii="Times New Roman" w:hAnsi="Times New Roman"/>
          <w:sz w:val="16"/>
        </w:rPr>
        <w:t>N. Shilpa, W. A. Banu, and P. B. Metre, “Revolutionizing pneumonia diagnosis: AI-driven deep learning framework for automated detection from chest X-rays,” IEEE Access, vol. 12, pp. 171 601–171 616, 2024.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[15] </w:t>
      </w:r>
      <w:r>
        <w:rPr>
          <w:rFonts w:ascii="Times New Roman" w:hAnsi="Times New Roman"/>
          <w:sz w:val="16"/>
        </w:rPr>
        <w:t>D. Rickard, M. A. Kabir, and N. Homaira, “Machine learning-based approaches for distinguishing viral and bacterial pneumonia in paediatrics: A scoping review,” Comput. Methods Programs Biomed., vol. 258, p. 108512, 2025.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[16] </w:t>
      </w:r>
      <w:r>
        <w:rPr>
          <w:rFonts w:ascii="Times New Roman" w:hAnsi="Times New Roman"/>
          <w:sz w:val="16"/>
        </w:rPr>
        <w:t>K. Munir, M. U. Tanveer, H. J. Alyamani, A. Bermak, and A. U. Rehman, “PneuX-Net: An enhanced feature extraction and transformation approach for pneumonia detection in X-ray images,” IEEE Access, vol. 13, pp. 78 912–78 925, 2025.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[17] </w:t>
      </w:r>
      <w:r>
        <w:rPr>
          <w:rFonts w:ascii="Times New Roman" w:hAnsi="Times New Roman"/>
          <w:sz w:val="16"/>
        </w:rPr>
        <w:t>A. Kunjumon, S. V., and J. J. Nair, “A hybrid deep learning framework for improved pneumonia detection in chest X-ray images,” Procedia Comput. Sci., vol. 282, pp. 1043–1055, 2026.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[18] </w:t>
      </w:r>
      <w:r>
        <w:rPr>
          <w:rFonts w:ascii="Times New Roman" w:hAnsi="Times New Roman"/>
          <w:sz w:val="16"/>
        </w:rPr>
        <w:t>K. He, X. Zhang, S. Ren, and J. Sun, “Deep residual learning for image recognition,” in Proc. IEEE Conf. Comput. Vis. Pattern Recognit. (CVPR), 2016, pp. 770–778.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[19] </w:t>
      </w:r>
      <w:r>
        <w:rPr>
          <w:rFonts w:ascii="Times New Roman" w:hAnsi="Times New Roman"/>
          <w:sz w:val="16"/>
        </w:rPr>
        <w:t>S. Woo, J. Park, J.-Y. Lee, and I. S. Kweon, “CBAM: Convolutional block attention module,” in Proc. Eur. Conf. Comput. Vis. (ECCV), 2018, pp. 3–19.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[20] </w:t>
      </w:r>
      <w:r>
        <w:rPr>
          <w:rFonts w:ascii="Times New Roman" w:hAnsi="Times New Roman"/>
          <w:sz w:val="16"/>
        </w:rPr>
        <w:t>Z. Jia and D. Chen, “Brain tumor identification and classification of MRI images using deep learning techniques,” IEEE Access, vol. 8, pp. 123 783–123 797, 2020.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[21] </w:t>
      </w:r>
      <w:r>
        <w:rPr>
          <w:rFonts w:ascii="Times New Roman" w:hAnsi="Times New Roman"/>
          <w:sz w:val="16"/>
        </w:rPr>
        <w:t>D. S. Kermany, M. Goldbaum, W. Cai, C. C. Valentim, H. Liang, S. L. Baxter et al., “Identifying medical diagnoses and treatable diseases by image-based deep learning,” Cell, vol. 172, no. 5, pp. 1122–1131, 2018.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[22] </w:t>
      </w:r>
      <w:r>
        <w:rPr>
          <w:rFonts w:ascii="Times New Roman" w:hAnsi="Times New Roman"/>
          <w:sz w:val="16"/>
        </w:rPr>
        <w:t>H. Olimboyev et al., “Development of the Gastro-AI model for diagnosing gastrointestinal diseases based on the HyperKvasir,” Proc. IEEE Conf. Artif. Intell. Med., pp. 1–6, 2024.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[23] </w:t>
      </w:r>
      <w:r>
        <w:rPr>
          <w:rFonts w:ascii="Times New Roman" w:hAnsi="Times New Roman"/>
          <w:sz w:val="16"/>
        </w:rPr>
        <w:t>H. Borgli, V. Thambawita, P. Smedsrud, S. Hicks, D. Jha, S. L. Eskeland et al., “HyperKvasir: A comprehensive multi-class image and video dataset for gastrointestinal endoscopy,” Sci. Data, vol. 7, p. 283, 2020.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[24] </w:t>
      </w:r>
      <w:r>
        <w:rPr>
          <w:rFonts w:ascii="Times New Roman" w:hAnsi="Times New Roman"/>
          <w:sz w:val="16"/>
        </w:rPr>
        <w:t>S. Karim et al., “Developments in brain tumor segmentation using MRI: Deep learning insights and future perspectives,” IEEE Access, vol. 12, pp. 25 958–25 983, 2024.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[25] </w:t>
      </w:r>
      <w:r>
        <w:rPr>
          <w:rFonts w:ascii="Times New Roman" w:hAnsi="Times New Roman"/>
          <w:sz w:val="16"/>
        </w:rPr>
        <w:t>A. Younis et al., “Abnormal brain tumors classification using ResNet50 and its comprehensive evaluation,” IEEE Access, vol. 12, pp. 80 470–80 480, 2024.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[26] </w:t>
      </w:r>
      <w:r>
        <w:rPr>
          <w:rFonts w:ascii="Times New Roman" w:hAnsi="Times New Roman"/>
          <w:sz w:val="16"/>
        </w:rPr>
        <w:t>M. F. Almufareh, M. Imran, A. Khan, M. Humayun, and M. Asim, “Automated brain tumor segmentation and classification in MRI using YOLO-based deep learning,” IEEE Access, vol. 12, pp. 16 189–16 204, 2024.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[27] </w:t>
      </w:r>
      <w:r>
        <w:rPr>
          <w:rFonts w:ascii="Times New Roman" w:hAnsi="Times New Roman"/>
          <w:sz w:val="16"/>
        </w:rPr>
        <w:t>S. Rajendran et al., “Automated segmentation of brain tumor MRI images using deep learning,” IEEE Access, vol. 11, pp. 64 758–64 768, 2023.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[28] </w:t>
      </w:r>
      <w:r>
        <w:rPr>
          <w:rFonts w:ascii="Times New Roman" w:hAnsi="Times New Roman"/>
          <w:sz w:val="16"/>
        </w:rPr>
        <w:t>S. Asif, W. Yi, Q. U. Ain, J. Hou, T. Yi, and J. Si, “Improving effectiveness of different deep transfer learning-based models for detecting brain tumors from MR images,” IEEE Access, vol. 10, pp. 34 716–34 730, 2022.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[29] </w:t>
      </w:r>
      <w:r>
        <w:rPr>
          <w:rFonts w:ascii="Times New Roman" w:hAnsi="Times New Roman"/>
          <w:sz w:val="16"/>
        </w:rPr>
        <w:t>S. Ahmad and P. K. Choudhury, “On the performance of deep transfer learning networks for brain tumor detection using MR images,” IEEE Access, vol. 10, pp. 59 541–59 556, 2022.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[30] </w:t>
      </w:r>
      <w:r>
        <w:rPr>
          <w:rFonts w:ascii="Times New Roman" w:hAnsi="Times New Roman"/>
          <w:sz w:val="16"/>
        </w:rPr>
        <w:t>M. U. Rehman et al., “An efficient deep learning model for brain tumour detection with privacy preservation,” CAAI Trans. Intell. Technol., vol. 8, pp. 612–624, 2023.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[31] </w:t>
      </w:r>
      <w:r>
        <w:rPr>
          <w:rFonts w:ascii="Times New Roman" w:hAnsi="Times New Roman"/>
          <w:sz w:val="16"/>
        </w:rPr>
        <w:t>S. S. Hussain, N. A. Wani, J. Kaur, N. Ahmad, and S. Ahmad, “Next-generation automation in neuro-oncology: Advanced neural networks for MRI-based brain tumor segmentation and classification,” IEEE Access, vol. 13, pp. 37 483–37 500, 2025.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[32] </w:t>
      </w:r>
      <w:r>
        <w:rPr>
          <w:rFonts w:ascii="Times New Roman" w:hAnsi="Times New Roman"/>
          <w:sz w:val="16"/>
        </w:rPr>
        <w:t>M. A. Ottom, H. A. Rahman, and I. D. Dinov, “Znet: Deep learning approach for 2D MRI brain tumor segmentation,” IEEE J. Transl. Eng. Health Med., vol. 10, pp. 1–10, 2022.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[33] </w:t>
      </w:r>
      <w:r>
        <w:rPr>
          <w:rFonts w:ascii="Times New Roman" w:hAnsi="Times New Roman"/>
          <w:sz w:val="16"/>
        </w:rPr>
        <w:t>R. Zaitoon and H. Syed, “RU-Net2+: A deep learning algorithm for accurate brain tumor segmentation and survival rate prediction,” IEEE Access, vol. 11, pp. 112 626–112 643, 2023.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[34] </w:t>
      </w:r>
      <w:r>
        <w:rPr>
          <w:rFonts w:ascii="Times New Roman" w:hAnsi="Times New Roman"/>
          <w:sz w:val="16"/>
        </w:rPr>
        <w:t>R. Singh, S. Gupta, S. Bharany, A. Almogren, A. Altameem, and A. U. Rehman, “Ensemble deep learning models for enhanced brain tumor classification by leveraging ResNet50 and EfficientNet-B7 on high-resolution MRI images,” IEEE Access, vol. 12, pp. 171 862–171 880, 2024.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[35] </w:t>
      </w:r>
      <w:r>
        <w:rPr>
          <w:rFonts w:ascii="Times New Roman" w:hAnsi="Times New Roman"/>
          <w:sz w:val="16"/>
        </w:rPr>
        <w:t>M. Tan and Q. V. Le, “EfficientNet: Rethinking model scaling for convolutional neural networks,” in Proc. Int. Conf. Mach. Learn. (ICML), 2019, pp. 6105–6114.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[36] </w:t>
      </w:r>
      <w:r>
        <w:rPr>
          <w:rFonts w:ascii="Times New Roman" w:hAnsi="Times New Roman"/>
          <w:sz w:val="16"/>
        </w:rPr>
        <w:t>Z. Liu, H. Mao, C.-Y. Wu, C. Feichtenhofer, T. Darrell, and S. Xie, “A ConvNet for the 2020s,” in Proc. IEEE/CVF Conf. Comput. Vis. Pattern Recognit. (CVPR), 2022, pp. 11 976–11 986.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[37] </w:t>
      </w:r>
      <w:r>
        <w:rPr>
          <w:rFonts w:ascii="Times New Roman" w:hAnsi="Times New Roman"/>
          <w:sz w:val="16"/>
        </w:rPr>
        <w:t>P. Szepesi and L. Szilágyi, “Detection of pneumonia using convolutional neural networks and deep learning,” Biocybern. Biomed. Eng., vol. 42, pp. 1012–1022, 2022.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[38] </w:t>
      </w:r>
      <w:r>
        <w:rPr>
          <w:rFonts w:ascii="Times New Roman" w:hAnsi="Times New Roman"/>
          <w:sz w:val="16"/>
        </w:rPr>
        <w:t>S. Potharaju, S. N. Tambe, K. Dasari, N. Srikanth, R. Venkatarao, and S. Tambe, “Enhanced X-ray image classification for pneumonia detection using deep learning based CBAM and SE mechanisms,” Intell.-Based Med., vol. 11, p. 100142, 2025.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[39] </w:t>
      </w:r>
      <w:r>
        <w:rPr>
          <w:rFonts w:ascii="Times New Roman" w:hAnsi="Times New Roman"/>
          <w:sz w:val="16"/>
        </w:rPr>
        <w:t>H. Lamouadene et al., “Detection of COVID-19, lung opacity, and viral pneumonia via X-ray using machine learning and deep learning,” Comput. Biol. Med., vol. 170, p. 108012, 2025.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[40] </w:t>
      </w:r>
      <w:r>
        <w:rPr>
          <w:rFonts w:ascii="Times New Roman" w:hAnsi="Times New Roman"/>
          <w:sz w:val="16"/>
        </w:rPr>
        <w:t>S. Akshay, S. Kashyap, H. N. D. Patel, and Y. R. P. Kumar, “Hybrid deep learning and machine learning framework for automated pneumonia detection in chest X-ray images,” MethodsX, vol. 15, p. 103729, 2025.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[41] </w:t>
      </w:r>
      <w:r>
        <w:rPr>
          <w:rFonts w:ascii="Times New Roman" w:hAnsi="Times New Roman"/>
          <w:sz w:val="16"/>
        </w:rPr>
        <w:t>M. F. Hashmi, A. A. Husain, D. M. Kotambkar, and K. D. Kumar, “Hybrid deep learning and handcrafted feature fusion for pneumonia detection in chest X-rays,” J. Electr. Syst. Inf. Technol., vol. 12, p. 94, 2025.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[42] </w:t>
      </w:r>
      <w:r>
        <w:rPr>
          <w:rFonts w:ascii="Times New Roman" w:hAnsi="Times New Roman"/>
          <w:sz w:val="16"/>
        </w:rPr>
        <w:t>M. Fu, C. Tantithamthavorn, and T. Le, “DA ViT: A domain-adapted vision transformer for automated pneumonia detection and explanation using chest X-ray images,” IEEE Access, vol. 13, pp. 34 120–34 135, 2025.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[43] </w:t>
      </w:r>
      <w:r>
        <w:rPr>
          <w:rFonts w:ascii="Times New Roman" w:hAnsi="Times New Roman"/>
          <w:sz w:val="16"/>
        </w:rPr>
        <w:t>N. Rana and H. Marwaha, “Pneumonia detection from X-ray images using federated learning—an unsupervised learning approach,” Meas.: Sensors, vol. 35, p. 101189, 2025.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[44] </w:t>
      </w:r>
      <w:r>
        <w:rPr>
          <w:rFonts w:ascii="Times New Roman" w:hAnsi="Times New Roman"/>
          <w:sz w:val="16"/>
        </w:rPr>
        <w:t>M. R. Hasan, S. M. A. Ullah, and S. M. R. Islam, “Recent advancement of deep learning techniques for pneumonia prediction from chest X-ray image,” Medical Reports, vol. 7, p. 100106, 2024.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[45] </w:t>
      </w:r>
      <w:r>
        <w:rPr>
          <w:rFonts w:ascii="Times New Roman" w:hAnsi="Times New Roman"/>
          <w:sz w:val="16"/>
        </w:rPr>
        <w:t>M. Sun, K. Liang, W. Zhang, Q. Chang, and X. Zhou, “Non-local attention and densely-connected convolutional neural networks for malignancy suspiciousness classification of gastric ulcer,” IEEE Access, vol. 8, pp. 15 812–15 822, 2020.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[46] </w:t>
      </w:r>
      <w:r>
        <w:rPr>
          <w:rFonts w:ascii="Times New Roman" w:hAnsi="Times New Roman"/>
          <w:sz w:val="16"/>
        </w:rPr>
        <w:t>S.-A. Lee, H. C. Cho, and H.-C. Cho, “A novel approach for increased convolutional neural network performance in gastric-cancer classification using endoscopic images,” IEEE Access, vol. 9, pp. 51 847–51 854, 2021.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[47] </w:t>
      </w:r>
      <w:r>
        <w:rPr>
          <w:rFonts w:ascii="Times New Roman" w:hAnsi="Times New Roman"/>
          <w:sz w:val="16"/>
        </w:rPr>
        <w:t>T. A. Kuchkorov, N. Q. Sabitova, and T. D. Ochilov, “Detection of gastric ulcers and lesions applying CNN architecture,” Proc. Int. Sci. Tech. Conf. Comput. Sci. Eng. Technol., pp. 200–205, 2022.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[48] </w:t>
      </w:r>
      <w:r>
        <w:rPr>
          <w:rFonts w:ascii="Times New Roman" w:hAnsi="Times New Roman"/>
          <w:sz w:val="16"/>
        </w:rPr>
        <w:t>S. Ahmad, J.-S. Kim, D. K. Park, and T. Whangbo, “Automated detection of gastric lesions in endoscopic images by leveraging attention-based YOLOv7,” IEEE Access, vol. 11, pp. 73 418–73 429, 2023.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[49] </w:t>
      </w:r>
      <w:r>
        <w:rPr>
          <w:rFonts w:ascii="Times New Roman" w:hAnsi="Times New Roman"/>
          <w:sz w:val="16"/>
        </w:rPr>
        <w:t>Y. Tan et al., “Deep learning-based AI system for real-time differentiation of benign and malignant gastric ulcers,” BMC Gastroenterol., vol. 26, p. 378, 2026.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[50] </w:t>
      </w:r>
      <w:r>
        <w:rPr>
          <w:rFonts w:ascii="Times New Roman" w:hAnsi="Times New Roman"/>
          <w:sz w:val="16"/>
        </w:rPr>
        <w:t>B. S. Kim et al., “Enhanced multi-class pathology lesion detection in gastric neoplasms using deep learning-based approach and validation,” Sci. Rep., vol. 14, p. 11527, 2024.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[51] </w:t>
      </w:r>
      <w:r>
        <w:rPr>
          <w:rFonts w:ascii="Times New Roman" w:hAnsi="Times New Roman"/>
          <w:sz w:val="16"/>
        </w:rPr>
        <w:t>X. Zheng, Z. Zeng, C. Ma, Q. Chang, Z. Zhao, and X. Yang, “Malignancy suspicious region guided deep neural networks for gastric ulcer classification,” Proc. IEEE Int. Conf. Robot. Autom. (ICRA), pp. 1–6, 2021.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[52] </w:t>
      </w:r>
      <w:r>
        <w:rPr>
          <w:rFonts w:ascii="Times New Roman" w:hAnsi="Times New Roman"/>
          <w:sz w:val="16"/>
        </w:rPr>
        <w:t>M. Ramamoorthy et al., “Early cancer diagnosis and ulcer classifications in endoscopy videos using deep learning approach,” Proc. IEEE Int. Conf. Comput. Intell. Computing Res., pp. 1–6, 2023.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[53] </w:t>
      </w:r>
      <w:r>
        <w:rPr>
          <w:rFonts w:ascii="Times New Roman" w:hAnsi="Times New Roman"/>
          <w:sz w:val="16"/>
        </w:rPr>
        <w:t>G. P. Lee, Y. J. Kim, D. K. Park, Y. J. Kim, S. K. Han, and K. G. Kim, “Gastro-BaseNet: A specialized pre-trained model for enhanced gastroscopic data classification and diagnosis of gastric cancer and ulcer,” Diagnostics, vol. 14, p. 75, 2024.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[54] </w:t>
      </w:r>
      <w:r>
        <w:rPr>
          <w:rFonts w:ascii="Times New Roman" w:hAnsi="Times New Roman"/>
          <w:sz w:val="16"/>
        </w:rPr>
        <w:t>R. Yang et al., “Artificial intelligence efficiently predicts gastric lesions, Helicobacter pylori infection and lymph node metastasis upon endoscopic images,” Chin. J. Cancer Res., vol. 36, pp. 489–502, 2024.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[55] </w:t>
      </w:r>
      <w:r>
        <w:rPr>
          <w:rFonts w:ascii="Times New Roman" w:hAnsi="Times New Roman"/>
          <w:sz w:val="16"/>
        </w:rPr>
        <w:t>M. Zubair, M. Owais, T. Mahmood, S. Iqbal, S. M. Usman, and I. Hussain, “Enhanced gastric cancer classification and quantification interpretable framework using digital histopathology images,” Sci. Rep., vol. 14, p. 8912, 2024.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[56] </w:t>
      </w:r>
      <w:r>
        <w:rPr>
          <w:rFonts w:ascii="Times New Roman" w:hAnsi="Times New Roman"/>
          <w:sz w:val="16"/>
        </w:rPr>
        <w:t>A. Saba, J. Amin, and M. U. Ali, “Deep Q-learning for gastrointestinal disease detection and classification,” Bioengineering, vol. 12, p. 1184, 2025.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[57] </w:t>
      </w:r>
      <w:r>
        <w:rPr>
          <w:rFonts w:ascii="Times New Roman" w:hAnsi="Times New Roman"/>
          <w:sz w:val="16"/>
        </w:rPr>
        <w:t>Y. Masmoudi, M. Ramzan, S. A. Khan, and M. Habib, “Optimal feature extraction and ulcer classification from WCE image data using deep learning,” Soft Comput., vol. 26, pp. 7571–7583, 2022.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[58] </w:t>
      </w:r>
      <w:r>
        <w:rPr>
          <w:rFonts w:ascii="Times New Roman" w:hAnsi="Times New Roman"/>
          <w:sz w:val="16"/>
        </w:rPr>
        <w:t>S. Gnanapriya, D. Reshma, and M. Varun, “Identification of gastric abnormalities with synchronous biopsy site localization from endoscope imaging in gastro-intestinal tract using deep learning technique,” Proc. IEEE Int. Conf. Circuit Power Comput. Technol., pp. 1–6, 2023.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[59] </w:t>
      </w:r>
      <w:r>
        <w:rPr>
          <w:rFonts w:ascii="Times New Roman" w:hAnsi="Times New Roman"/>
          <w:sz w:val="16"/>
        </w:rPr>
        <w:t>H. J. Yoon and J.-H. Kim, “Lesion-based convolutional neural network in diagnosis of early gastric cancer,” Clin. Endosc., vol. 53, pp. 127–131, 2020.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[60] </w:t>
      </w:r>
      <w:r>
        <w:rPr>
          <w:rFonts w:ascii="Times New Roman" w:hAnsi="Times New Roman"/>
          <w:sz w:val="16"/>
        </w:rPr>
        <w:t>RSNA, “RSNA pneumonia detection challenge,” Radiological Society of North America, 2018. [Online]. Available: https://www.kaggle.com/c/rsna-pneumonia-detection-challenge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[61] </w:t>
      </w:r>
      <w:r>
        <w:rPr>
          <w:rFonts w:ascii="Times New Roman" w:hAnsi="Times New Roman"/>
          <w:sz w:val="16"/>
        </w:rPr>
        <w:t>B. H. Menze et al., “The multimodal brain tumor image segmentation benchmark (BRATS),” IEEE Trans. Med. Imag., vol. 34, no. 10, pp. 1993–2024, 2015.</w:t>
      </w:r>
    </w:p>
    <w:p>
      <w:pPr>
        <w:spacing w:before="0" w:after="40" w:line="240" w:lineRule="auto"/>
        <w:ind w:left="317" w:hanging="317"/>
        <w:jc w:val="both"/>
      </w:pPr>
      <w:r>
        <w:rPr>
          <w:rFonts w:ascii="Times New Roman" w:hAnsi="Times New Roman"/>
          <w:sz w:val="16"/>
        </w:rPr>
        <w:t xml:space="preserve">[62] </w:t>
      </w:r>
      <w:r>
        <w:rPr>
          <w:rFonts w:ascii="Times New Roman" w:hAnsi="Times New Roman"/>
          <w:sz w:val="16"/>
        </w:rPr>
        <w:t>P. H. Smedsrud et al., “Kvasir-Capsule, a video capsule endoscopy dataset,” Sci. Data, vol. 8, p. 142, 2021.</w:t>
      </w:r>
    </w:p>
    <w:sectPr w:rsidR="00FC693F" w:rsidRPr="0006063C" w:rsidSect="00034616">
      <w:type w:val="continuous"/>
      <w:pgSz w:w="12240" w:h="15840"/>
      <w:pgMar w:top="1080" w:right="900" w:bottom="1440" w:left="900" w:header="720" w:footer="720" w:gutter="0"/>
      <w:docGrid w:linePitch="360"/>
      <w:cols w:num="2" w:space="36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