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Payment Ledger Product Design Report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A money-first redesign for fast, reliable daily payment operations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by OpenAI Codex</w:t>
            </w:r>
          </w:p>
          <w:p w14:paraId="00000007">
            <w:pPr>
              <w:spacing w:after="0" w:line="240" w:lineRule="auto"/>
              <w:rPr>
                <w:color w:val="666666"/>
              </w:rPr>
            </w:pPr>
            <w:r>
              <w:rPr>
                <w:color w:val="666666"/>
                <w:rtl w:val="0"/>
              </w:rPr>
              <w:t xml:space="preserve">August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Payment Ledger is a single-user INR cashbook used repeatedly throughout the working day. The redesign makes payment capture the dominant action, aligns money for rapid scanning, and uses color only for direction, action, and review state.</w:t>
      </w:r>
    </w:p>
    <w:p w14:paraId="00000019">
      <w:pPr>
        <w:rPr/>
      </w:pPr>
      <w:r>
        <w:rPr>
          <w:rtl w:val="0"/>
        </w:rPr>
        <w:t xml:space="preserve">The implementation retains the Hono, React, and SQLite architecture while adding resilient rendering, shared operational components, keyboard access, responsive navigation, and explicit loading, empty, and error states.</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Primary outcome: capture payments accurately with the fewest repeated actions.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Primary control: keep unresolved transactions visible, actionable, and age-aware.</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Guardrail: entry speed never trades off against database integrity or verified backups.</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The product serves one operator managing frequent outgoing payments, payees, review exceptions, reports, and backups. The brief covers seven screens and prioritizes muscle memory over novelty.</w:t>
      </w:r>
    </w:p>
    <w:p w14:paraId="00000020">
      <w:pPr>
        <w:rPr/>
      </w:pPr>
      <w:r>
        <w:rPr>
          <w:rtl w:val="0"/>
        </w:rPr>
        <w:t xml:space="preserve">Evidence reviewed: design.md, React component contracts, server APIs, live dashboard and master data, browser runtime errors, and the August 2026 Web Interface Guidelines.</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strongest product pattern is a command-entry cashbook: one primary payment action, a live parsed preview, asymmetric daily totals, and tables anchored by right-aligned tabular money.</w:t>
      </w:r>
    </w:p>
    <w:p w14:paraId="00000023">
      <w:pPr>
        <w:pStyle w:val="Heading2"/>
        <w:rPr/>
      </w:pPr>
      <w:r>
        <w:rPr>
          <w:rtl w:val="0"/>
        </w:rPr>
        <w:t xml:space="preserve">Context and conditions</w:t>
      </w:r>
    </w:p>
    <w:p w14:paraId="00000024">
      <w:pPr>
        <w:rPr/>
      </w:pPr>
      <w:r>
        <w:rPr>
          <w:rtl w:val="0"/>
        </w:rPr>
        <w:t xml:space="preserve">At audit time the live ledger contained 707 transactions, 13 payees, a healthy SQLite database, and one active review item. Demo records dominate history, so business targets remain provisional.</w:t>
      </w:r>
    </w:p>
    <w:p w14:paraId="00000025">
      <w:pPr>
        <w:pStyle w:val="Heading2"/>
        <w:rPr/>
      </w:pPr>
      <w:r>
        <w:rPr>
          <w:rtl w:val="0"/>
        </w:rPr>
        <w:t xml:space="preserve">Patterns in the evidence</w:t>
      </w:r>
    </w:p>
    <w:p w14:paraId="00000026">
      <w:pPr>
        <w:rPr/>
      </w:pPr>
      <w:r>
        <w:rPr>
          <w:rtl w:val="0"/>
        </w:rPr>
        <w:t xml:space="preserve">The prior redesign matched much of the visual brief but broke required component contracts, omitted a hook import, and lacked a render boundary. Those integration defects caused the production white screen.</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A calm interface is trustworthy only when data contracts, exception states, and keyboard paths are as disciplined as the visual hierarchy.</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Review this product as an operating system for daily payments, not a generic analytics dashboard. Every metric should trigger a clear daily or weekly action.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Capture quality</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Categorised-at-entry rate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Investigate parser defaults and mappings when the rate falls</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Review control</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Open review count and oldest review age</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Resolve exceptions before they become stale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Reliability guardrail</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Database integrity and verified backup recency</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Stop workflow changes if data safety regresses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Use three decision metrics: capture quality, review control, and reliability. Show business totals as operating context, not product-success KPIs.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Measure capture quality. Categorised-at-entry rate equals posted transactions created without needsReview divided by posted transactions created. Provisional weekly target: at least 95 percent.</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Control exceptions. Keep open reviews at five or fewer and oldest review age below seven days. Drivers: remembered payee mappings and same-day resolutions.</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Protect trust. Require database integrity = ok and one verified backup in the preceding seven days. Either failure is a blocking guardrail.</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The direction is specific to a cashbook: numbers dominate, the payment slip is the signature interaction, and amber is reserved for work requiring attention.</w:t>
      </w:r>
    </w:p>
    <w:p w14:paraId="0000003F">
      <w:pPr>
        <w:rPr/>
      </w:pPr>
      <w:r>
        <w:rPr>
          <w:rtl w:val="0"/>
        </w:rPr>
        <w:t xml:space="preserve">Firm business targets require non-demo operating history. Use provisional operational thresholds, then review them after four representative weeks.</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Assumptions: one primary operator, INR-only payments, daily use, no application login, and SQLite as the authoritative transaction source.</w:t>
      </w:r>
    </w:p>
    <w:p w14:paraId="00000043">
      <w:pPr>
        <w:rPr/>
      </w:pPr>
      <w:r>
        <w:rPr>
          <w:rtl w:val="0"/>
        </w:rPr>
        <w:t xml:space="preserve">Missing context: external payment-source completeness and representative non-demo baselines. These gaps prevent a defensible completeness KPI or firm volume target.</w:t>
      </w:r>
    </w:p>
    <w:bookmarkStart w:colFirst="0" w:colLast="0" w:name="bookmark=id.nnk1eebni0ji" w:id="10"/>
    <w:bookmarkEnd w:id="10"/>
    <w:p w14:paraId="00000044">
      <w:pPr>
        <w:pStyle w:val="Heading2"/>
        <w:rPr/>
      </w:pPr>
      <w:r>
        <w:rPr>
          <w:rtl w:val="0"/>
        </w:rPr>
        <w:t xml:space="preserve">Source placeholders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Payment Ledger project. design.md and application source. Reviewed 2 August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Payment Ledger API. Dashboard, master data, reports, and system status. Accessed 2 August 2026.</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Vercel Labs. Web Interface Guidelines. Accessed 2 August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OpenAI Codex. Browser runtime and responsive interface audit. 2 August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Prepared from the retained Design Report template. Refresh page references when opening the document in Microsoft Word.</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