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70C4" w14:textId="77777777" w:rsidR="002B21B0" w:rsidRPr="002B21B0" w:rsidRDefault="002B21B0" w:rsidP="002B21B0">
      <w:pPr>
        <w:rPr>
          <w:b/>
          <w:bCs/>
        </w:rPr>
      </w:pPr>
      <w:r w:rsidRPr="002B21B0">
        <w:rPr>
          <w:b/>
          <w:bCs/>
        </w:rPr>
        <w:t>PMS &amp; AIF</w:t>
      </w:r>
    </w:p>
    <w:p w14:paraId="3A74D5F0" w14:textId="77777777" w:rsidR="002B21B0" w:rsidRPr="002B21B0" w:rsidRDefault="002B21B0" w:rsidP="002B21B0">
      <w:pPr>
        <w:rPr>
          <w:b/>
          <w:bCs/>
        </w:rPr>
      </w:pPr>
      <w:r w:rsidRPr="002B21B0">
        <w:rPr>
          <w:b/>
          <w:bCs/>
        </w:rPr>
        <w:t>Hero Section</w:t>
      </w:r>
    </w:p>
    <w:p w14:paraId="2F401DA6" w14:textId="77777777" w:rsidR="002B21B0" w:rsidRPr="002B21B0" w:rsidRDefault="002B21B0" w:rsidP="002B21B0">
      <w:r w:rsidRPr="002B21B0">
        <w:rPr>
          <w:b/>
          <w:bCs/>
        </w:rPr>
        <w:t>Eyebrow:</w:t>
      </w:r>
      <w:r w:rsidRPr="002B21B0">
        <w:t xml:space="preserve"> PRIVATE INVESTING</w:t>
      </w:r>
    </w:p>
    <w:p w14:paraId="49BE2B64" w14:textId="77777777" w:rsidR="002B21B0" w:rsidRPr="002B21B0" w:rsidRDefault="002B21B0" w:rsidP="002B21B0">
      <w:pPr>
        <w:rPr>
          <w:b/>
          <w:bCs/>
        </w:rPr>
      </w:pPr>
      <w:r w:rsidRPr="002B21B0">
        <w:rPr>
          <w:b/>
          <w:bCs/>
        </w:rPr>
        <w:t>Beyond Conventional Investing</w:t>
      </w:r>
    </w:p>
    <w:p w14:paraId="1F937D1D" w14:textId="77777777" w:rsidR="002B21B0" w:rsidRPr="002B21B0" w:rsidRDefault="002B21B0" w:rsidP="002B21B0">
      <w:r w:rsidRPr="002B21B0">
        <w:t>Explore professionally managed portfolios and alternative investments with guidance focused on suitability, transparency, risk and your long-term financial priorities.</w:t>
      </w:r>
    </w:p>
    <w:p w14:paraId="78337695" w14:textId="77777777" w:rsidR="002B21B0" w:rsidRPr="002B21B0" w:rsidRDefault="002B21B0" w:rsidP="002B21B0">
      <w:r w:rsidRPr="002B21B0">
        <w:pict w14:anchorId="79FECC94">
          <v:rect id="_x0000_i1076" style="width:0;height:1.5pt" o:hralign="center" o:hrstd="t" o:hr="t" fillcolor="#a0a0a0" stroked="f"/>
        </w:pict>
      </w:r>
    </w:p>
    <w:p w14:paraId="6959230B" w14:textId="77777777" w:rsidR="002B21B0" w:rsidRPr="002B21B0" w:rsidRDefault="002B21B0" w:rsidP="002B21B0">
      <w:pPr>
        <w:rPr>
          <w:b/>
          <w:bCs/>
        </w:rPr>
      </w:pPr>
      <w:r w:rsidRPr="002B21B0">
        <w:rPr>
          <w:b/>
          <w:bCs/>
        </w:rPr>
        <w:t>Regulatory Investment Overview</w:t>
      </w:r>
    </w:p>
    <w:p w14:paraId="1BA25303" w14:textId="77777777" w:rsidR="002B21B0" w:rsidRPr="002B21B0" w:rsidRDefault="002B21B0" w:rsidP="002B21B0">
      <w:r w:rsidRPr="002B21B0">
        <w:rPr>
          <w:b/>
          <w:bCs/>
        </w:rPr>
        <w:t>Eyebrow:</w:t>
      </w:r>
      <w:r w:rsidRPr="002B21B0">
        <w:t xml:space="preserve"> SEBI Regulatory Mandates</w:t>
      </w:r>
    </w:p>
    <w:p w14:paraId="3D5750CA" w14:textId="77777777" w:rsidR="002B21B0" w:rsidRPr="002B21B0" w:rsidRDefault="002B21B0" w:rsidP="002B21B0">
      <w:pPr>
        <w:rPr>
          <w:b/>
          <w:bCs/>
        </w:rPr>
      </w:pPr>
      <w:r w:rsidRPr="002B21B0">
        <w:rPr>
          <w:b/>
          <w:bCs/>
        </w:rPr>
        <w:t>₹50 Lakhs</w:t>
      </w:r>
    </w:p>
    <w:p w14:paraId="59C31FC9" w14:textId="77777777" w:rsidR="002B21B0" w:rsidRPr="002B21B0" w:rsidRDefault="002B21B0" w:rsidP="002B21B0">
      <w:r w:rsidRPr="002B21B0">
        <w:rPr>
          <w:b/>
          <w:bCs/>
        </w:rPr>
        <w:t>PMS Label:</w:t>
      </w:r>
      <w:r w:rsidRPr="002B21B0">
        <w:t xml:space="preserve"> PMS Investment</w:t>
      </w:r>
    </w:p>
    <w:p w14:paraId="2DA74A05" w14:textId="77777777" w:rsidR="002B21B0" w:rsidRPr="002B21B0" w:rsidRDefault="002B21B0" w:rsidP="002B21B0">
      <w:r w:rsidRPr="002B21B0">
        <w:rPr>
          <w:b/>
          <w:bCs/>
        </w:rPr>
        <w:t>Badge:</w:t>
      </w:r>
      <w:r w:rsidRPr="002B21B0">
        <w:t xml:space="preserve"> Minimum</w:t>
      </w:r>
    </w:p>
    <w:p w14:paraId="05CF8028" w14:textId="77777777" w:rsidR="002B21B0" w:rsidRPr="002B21B0" w:rsidRDefault="002B21B0" w:rsidP="002B21B0">
      <w:pPr>
        <w:rPr>
          <w:b/>
          <w:bCs/>
        </w:rPr>
      </w:pPr>
      <w:r w:rsidRPr="002B21B0">
        <w:rPr>
          <w:b/>
          <w:bCs/>
        </w:rPr>
        <w:t>₹1 Crore</w:t>
      </w:r>
    </w:p>
    <w:p w14:paraId="047425F3" w14:textId="77777777" w:rsidR="002B21B0" w:rsidRPr="002B21B0" w:rsidRDefault="002B21B0" w:rsidP="002B21B0">
      <w:r w:rsidRPr="002B21B0">
        <w:rPr>
          <w:b/>
          <w:bCs/>
        </w:rPr>
        <w:t>AIF Label:</w:t>
      </w:r>
      <w:r w:rsidRPr="002B21B0">
        <w:t xml:space="preserve"> AIF Investment</w:t>
      </w:r>
    </w:p>
    <w:p w14:paraId="76E07D38" w14:textId="77777777" w:rsidR="002B21B0" w:rsidRPr="002B21B0" w:rsidRDefault="002B21B0" w:rsidP="002B21B0">
      <w:r w:rsidRPr="002B21B0">
        <w:rPr>
          <w:b/>
          <w:bCs/>
        </w:rPr>
        <w:t>Badge:</w:t>
      </w:r>
      <w:r w:rsidRPr="002B21B0">
        <w:t xml:space="preserve"> Minimum</w:t>
      </w:r>
    </w:p>
    <w:p w14:paraId="1D30B20D" w14:textId="77777777" w:rsidR="002B21B0" w:rsidRPr="002B21B0" w:rsidRDefault="002B21B0" w:rsidP="002B21B0">
      <w:pPr>
        <w:rPr>
          <w:b/>
          <w:bCs/>
        </w:rPr>
      </w:pPr>
      <w:r w:rsidRPr="002B21B0">
        <w:rPr>
          <w:b/>
          <w:bCs/>
        </w:rPr>
        <w:t>100% Direct</w:t>
      </w:r>
    </w:p>
    <w:p w14:paraId="702B54FE" w14:textId="77777777" w:rsidR="002B21B0" w:rsidRPr="002B21B0" w:rsidRDefault="002B21B0" w:rsidP="002B21B0">
      <w:r w:rsidRPr="002B21B0">
        <w:rPr>
          <w:b/>
          <w:bCs/>
        </w:rPr>
        <w:t>Ownership Label:</w:t>
      </w:r>
      <w:r w:rsidRPr="002B21B0">
        <w:t xml:space="preserve"> PMS Ownership</w:t>
      </w:r>
    </w:p>
    <w:p w14:paraId="49687DEC" w14:textId="77777777" w:rsidR="002B21B0" w:rsidRPr="002B21B0" w:rsidRDefault="002B21B0" w:rsidP="002B21B0">
      <w:r w:rsidRPr="002B21B0">
        <w:rPr>
          <w:b/>
          <w:bCs/>
        </w:rPr>
        <w:t>Badge:</w:t>
      </w:r>
      <w:r w:rsidRPr="002B21B0">
        <w:t xml:space="preserve"> Direct Hold</w:t>
      </w:r>
    </w:p>
    <w:p w14:paraId="48B3A512" w14:textId="77777777" w:rsidR="002B21B0" w:rsidRPr="002B21B0" w:rsidRDefault="002B21B0" w:rsidP="002B21B0">
      <w:r w:rsidRPr="002B21B0">
        <w:rPr>
          <w:b/>
          <w:bCs/>
        </w:rPr>
        <w:t>Footnote:</w:t>
      </w:r>
      <w:r w:rsidRPr="002B21B0">
        <w:t xml:space="preserve"> Standard minimums have exceptions. Direct ownership applies to PMS, not pooled AIF assets.</w:t>
      </w:r>
    </w:p>
    <w:p w14:paraId="2ED07151" w14:textId="77777777" w:rsidR="002B21B0" w:rsidRPr="002B21B0" w:rsidRDefault="002B21B0" w:rsidP="002B21B0">
      <w:r w:rsidRPr="002B21B0">
        <w:pict w14:anchorId="3EFB4326">
          <v:rect id="_x0000_i1077" style="width:0;height:1.5pt" o:hralign="center" o:hrstd="t" o:hr="t" fillcolor="#a0a0a0" stroked="f"/>
        </w:pict>
      </w:r>
    </w:p>
    <w:p w14:paraId="0D97F8BC" w14:textId="77777777" w:rsidR="002B21B0" w:rsidRPr="002B21B0" w:rsidRDefault="002B21B0" w:rsidP="002B21B0">
      <w:pPr>
        <w:rPr>
          <w:b/>
          <w:bCs/>
        </w:rPr>
      </w:pPr>
      <w:r w:rsidRPr="002B21B0">
        <w:rPr>
          <w:b/>
          <w:bCs/>
        </w:rPr>
        <w:t>Two Investment Pathways</w:t>
      </w:r>
    </w:p>
    <w:p w14:paraId="1A2E02A4" w14:textId="77777777" w:rsidR="002B21B0" w:rsidRPr="002B21B0" w:rsidRDefault="002B21B0" w:rsidP="002B21B0">
      <w:r w:rsidRPr="002B21B0">
        <w:rPr>
          <w:b/>
          <w:bCs/>
        </w:rPr>
        <w:t>Eyebrow:</w:t>
      </w:r>
      <w:r w:rsidRPr="002B21B0">
        <w:t xml:space="preserve"> Investment Pathways</w:t>
      </w:r>
    </w:p>
    <w:p w14:paraId="722805D9" w14:textId="77777777" w:rsidR="002B21B0" w:rsidRPr="002B21B0" w:rsidRDefault="002B21B0" w:rsidP="002B21B0">
      <w:pPr>
        <w:rPr>
          <w:b/>
          <w:bCs/>
        </w:rPr>
      </w:pPr>
      <w:r w:rsidRPr="002B21B0">
        <w:rPr>
          <w:b/>
          <w:bCs/>
        </w:rPr>
        <w:t>Two Distinct Approaches</w:t>
      </w:r>
    </w:p>
    <w:p w14:paraId="04753F7C" w14:textId="77777777" w:rsidR="002B21B0" w:rsidRPr="002B21B0" w:rsidRDefault="002B21B0" w:rsidP="002B21B0">
      <w:r w:rsidRPr="002B21B0">
        <w:t>Understand how PMS and AIF structures differ before considering their place in your investment portfolio.</w:t>
      </w:r>
    </w:p>
    <w:p w14:paraId="21113005" w14:textId="77777777" w:rsidR="002B21B0" w:rsidRPr="002B21B0" w:rsidRDefault="002B21B0" w:rsidP="002B21B0">
      <w:pPr>
        <w:rPr>
          <w:b/>
          <w:bCs/>
        </w:rPr>
      </w:pPr>
      <w:r w:rsidRPr="002B21B0">
        <w:rPr>
          <w:b/>
          <w:bCs/>
        </w:rPr>
        <w:t>Portfolio Management Services (PMS)</w:t>
      </w:r>
    </w:p>
    <w:p w14:paraId="2B6BFD98" w14:textId="77777777" w:rsidR="002B21B0" w:rsidRPr="002B21B0" w:rsidRDefault="002B21B0" w:rsidP="002B21B0">
      <w:r w:rsidRPr="002B21B0">
        <w:t>PMS offers professionally managed portfolios with securities typically held in your name. Investment decisions follow the agreed mandate, with risks, fees and liquidity to consider.</w:t>
      </w:r>
    </w:p>
    <w:p w14:paraId="68EC7886" w14:textId="77777777" w:rsidR="002B21B0" w:rsidRPr="002B21B0" w:rsidRDefault="002B21B0" w:rsidP="002B21B0">
      <w:r w:rsidRPr="002B21B0">
        <w:rPr>
          <w:b/>
          <w:bCs/>
        </w:rPr>
        <w:t>Proof Row 1</w:t>
      </w:r>
    </w:p>
    <w:p w14:paraId="52D89162" w14:textId="77777777" w:rsidR="002B21B0" w:rsidRPr="002B21B0" w:rsidRDefault="002B21B0" w:rsidP="002B21B0">
      <w:r w:rsidRPr="002B21B0">
        <w:rPr>
          <w:b/>
          <w:bCs/>
        </w:rPr>
        <w:t>Ownership:</w:t>
      </w:r>
      <w:r w:rsidRPr="002B21B0">
        <w:t xml:space="preserve"> Securities are generally held in the client's own account.</w:t>
      </w:r>
    </w:p>
    <w:p w14:paraId="594E3B3C" w14:textId="77777777" w:rsidR="002B21B0" w:rsidRPr="002B21B0" w:rsidRDefault="002B21B0" w:rsidP="002B21B0">
      <w:r w:rsidRPr="002B21B0">
        <w:rPr>
          <w:b/>
          <w:bCs/>
        </w:rPr>
        <w:t>Proof Row 2</w:t>
      </w:r>
    </w:p>
    <w:p w14:paraId="29435673" w14:textId="77777777" w:rsidR="002B21B0" w:rsidRPr="002B21B0" w:rsidRDefault="002B21B0" w:rsidP="002B21B0">
      <w:r w:rsidRPr="002B21B0">
        <w:rPr>
          <w:b/>
          <w:bCs/>
        </w:rPr>
        <w:lastRenderedPageBreak/>
        <w:t>Investment Style:</w:t>
      </w:r>
      <w:r w:rsidRPr="002B21B0">
        <w:t xml:space="preserve"> Portfolio decisions follow the agreed investment mandate.</w:t>
      </w:r>
    </w:p>
    <w:p w14:paraId="1758319A" w14:textId="77777777" w:rsidR="002B21B0" w:rsidRPr="002B21B0" w:rsidRDefault="002B21B0" w:rsidP="002B21B0">
      <w:r w:rsidRPr="002B21B0">
        <w:rPr>
          <w:b/>
          <w:bCs/>
        </w:rPr>
        <w:t>Proof Row 3</w:t>
      </w:r>
    </w:p>
    <w:p w14:paraId="2D73A0C9" w14:textId="77777777" w:rsidR="002B21B0" w:rsidRPr="002B21B0" w:rsidRDefault="002B21B0" w:rsidP="002B21B0">
      <w:r w:rsidRPr="002B21B0">
        <w:rPr>
          <w:b/>
          <w:bCs/>
        </w:rPr>
        <w:t>Risk &amp; Reporting:</w:t>
      </w:r>
      <w:r w:rsidRPr="002B21B0">
        <w:t xml:space="preserve"> Review holdings, portfolio concentration, costs and performance.</w:t>
      </w:r>
    </w:p>
    <w:p w14:paraId="47EC0F91" w14:textId="77777777" w:rsidR="002B21B0" w:rsidRPr="002B21B0" w:rsidRDefault="002B21B0" w:rsidP="002B21B0">
      <w:pPr>
        <w:rPr>
          <w:b/>
          <w:bCs/>
        </w:rPr>
      </w:pPr>
      <w:r w:rsidRPr="002B21B0">
        <w:rPr>
          <w:b/>
          <w:bCs/>
        </w:rPr>
        <w:t>Alternative Investment Funds (AIF)</w:t>
      </w:r>
    </w:p>
    <w:p w14:paraId="461E11A1" w14:textId="77777777" w:rsidR="002B21B0" w:rsidRPr="002B21B0" w:rsidRDefault="002B21B0" w:rsidP="002B21B0">
      <w:r w:rsidRPr="002B21B0">
        <w:t>AIFs pool investor capital under a defined fund strategy. They may provide exposure to specialised assets, but involve varying liquidity, valuation, concentration and exit risks.</w:t>
      </w:r>
    </w:p>
    <w:p w14:paraId="0A97332B" w14:textId="77777777" w:rsidR="002B21B0" w:rsidRPr="002B21B0" w:rsidRDefault="002B21B0" w:rsidP="002B21B0">
      <w:r w:rsidRPr="002B21B0">
        <w:rPr>
          <w:b/>
          <w:bCs/>
        </w:rPr>
        <w:t>Proof Row 1</w:t>
      </w:r>
    </w:p>
    <w:p w14:paraId="6592BEC1" w14:textId="77777777" w:rsidR="002B21B0" w:rsidRPr="002B21B0" w:rsidRDefault="002B21B0" w:rsidP="002B21B0">
      <w:r w:rsidRPr="002B21B0">
        <w:rPr>
          <w:b/>
          <w:bCs/>
        </w:rPr>
        <w:t>Fund Structure:</w:t>
      </w:r>
      <w:r w:rsidRPr="002B21B0">
        <w:t xml:space="preserve"> Investors hold units in a pooled investment vehicle.</w:t>
      </w:r>
    </w:p>
    <w:p w14:paraId="49ACCC8D" w14:textId="77777777" w:rsidR="002B21B0" w:rsidRPr="002B21B0" w:rsidRDefault="002B21B0" w:rsidP="002B21B0">
      <w:r w:rsidRPr="002B21B0">
        <w:rPr>
          <w:b/>
          <w:bCs/>
        </w:rPr>
        <w:t>Proof Row 2</w:t>
      </w:r>
    </w:p>
    <w:p w14:paraId="05302048" w14:textId="77777777" w:rsidR="002B21B0" w:rsidRPr="002B21B0" w:rsidRDefault="002B21B0" w:rsidP="002B21B0">
      <w:r w:rsidRPr="002B21B0">
        <w:rPr>
          <w:b/>
          <w:bCs/>
        </w:rPr>
        <w:t>Asset Exposure:</w:t>
      </w:r>
      <w:r w:rsidRPr="002B21B0">
        <w:t xml:space="preserve"> Strategies and permitted investments vary by AIF category.</w:t>
      </w:r>
    </w:p>
    <w:p w14:paraId="22532294" w14:textId="77777777" w:rsidR="002B21B0" w:rsidRPr="002B21B0" w:rsidRDefault="002B21B0" w:rsidP="002B21B0">
      <w:r w:rsidRPr="002B21B0">
        <w:rPr>
          <w:b/>
          <w:bCs/>
        </w:rPr>
        <w:t>Proof Row 3</w:t>
      </w:r>
    </w:p>
    <w:p w14:paraId="6A6258FC" w14:textId="77777777" w:rsidR="002B21B0" w:rsidRPr="002B21B0" w:rsidRDefault="002B21B0" w:rsidP="002B21B0">
      <w:r w:rsidRPr="002B21B0">
        <w:rPr>
          <w:b/>
          <w:bCs/>
        </w:rPr>
        <w:t>Liquidity Terms:</w:t>
      </w:r>
      <w:r w:rsidRPr="002B21B0">
        <w:t xml:space="preserve"> Lock-ins, distributions and exits depend on fund documents.</w:t>
      </w:r>
    </w:p>
    <w:p w14:paraId="59FCB7DA" w14:textId="77777777" w:rsidR="002B21B0" w:rsidRPr="002B21B0" w:rsidRDefault="002B21B0" w:rsidP="002B21B0">
      <w:r w:rsidRPr="002B21B0">
        <w:pict w14:anchorId="484BEC89">
          <v:rect id="_x0000_i1078" style="width:0;height:1.5pt" o:hralign="center" o:hrstd="t" o:hr="t" fillcolor="#a0a0a0" stroked="f"/>
        </w:pict>
      </w:r>
    </w:p>
    <w:p w14:paraId="4F260D25" w14:textId="77777777" w:rsidR="002B21B0" w:rsidRPr="002B21B0" w:rsidRDefault="002B21B0" w:rsidP="002B21B0">
      <w:pPr>
        <w:rPr>
          <w:b/>
          <w:bCs/>
        </w:rPr>
      </w:pPr>
      <w:r w:rsidRPr="002B21B0">
        <w:rPr>
          <w:b/>
          <w:bCs/>
        </w:rPr>
        <w:t>2. Wealth Brackets</w:t>
      </w:r>
    </w:p>
    <w:p w14:paraId="01D33450" w14:textId="77777777" w:rsidR="002B21B0" w:rsidRPr="002B21B0" w:rsidRDefault="002B21B0" w:rsidP="002B21B0">
      <w:pPr>
        <w:rPr>
          <w:b/>
          <w:bCs/>
        </w:rPr>
      </w:pPr>
      <w:r w:rsidRPr="002B21B0">
        <w:rPr>
          <w:b/>
          <w:bCs/>
        </w:rPr>
        <w:t>Investing Across Wealth Levels</w:t>
      </w:r>
    </w:p>
    <w:p w14:paraId="1E8A9BCF" w14:textId="77777777" w:rsidR="002B21B0" w:rsidRPr="002B21B0" w:rsidRDefault="002B21B0" w:rsidP="002B21B0">
      <w:r w:rsidRPr="002B21B0">
        <w:t>Your investment capacity is only one part of the decision. We consider financial goals, existing assets, liquidity, risk tolerance and time horizon before discussing PMS or AIF suitability.</w:t>
      </w:r>
    </w:p>
    <w:p w14:paraId="46881743" w14:textId="77777777" w:rsidR="002B21B0" w:rsidRPr="002B21B0" w:rsidRDefault="002B21B0" w:rsidP="002B21B0">
      <w:pPr>
        <w:rPr>
          <w:b/>
          <w:bCs/>
        </w:rPr>
      </w:pPr>
      <w:r w:rsidRPr="002B21B0">
        <w:rPr>
          <w:b/>
          <w:bCs/>
        </w:rPr>
        <w:t>Bracket 1</w:t>
      </w:r>
    </w:p>
    <w:p w14:paraId="6DF1459F" w14:textId="77777777" w:rsidR="002B21B0" w:rsidRPr="002B21B0" w:rsidRDefault="002B21B0" w:rsidP="002B21B0">
      <w:r w:rsidRPr="002B21B0">
        <w:rPr>
          <w:b/>
          <w:bCs/>
        </w:rPr>
        <w:t>Tab:</w:t>
      </w:r>
      <w:r w:rsidRPr="002B21B0">
        <w:t xml:space="preserve"> ₹50 Lakhs – ₹1 Crore</w:t>
      </w:r>
    </w:p>
    <w:p w14:paraId="5C08CE42" w14:textId="77777777" w:rsidR="002B21B0" w:rsidRPr="002B21B0" w:rsidRDefault="002B21B0" w:rsidP="002B21B0">
      <w:r w:rsidRPr="002B21B0">
        <w:rPr>
          <w:b/>
          <w:bCs/>
        </w:rPr>
        <w:t>Title:</w:t>
      </w:r>
      <w:r w:rsidRPr="002B21B0">
        <w:t xml:space="preserve"> Building Your Base</w:t>
      </w:r>
    </w:p>
    <w:p w14:paraId="58DDB096" w14:textId="77777777" w:rsidR="002B21B0" w:rsidRPr="002B21B0" w:rsidRDefault="002B21B0" w:rsidP="002B21B0">
      <w:r w:rsidRPr="002B21B0">
        <w:rPr>
          <w:b/>
          <w:bCs/>
        </w:rPr>
        <w:t>Allocation 1:</w:t>
      </w:r>
      <w:r w:rsidRPr="002B21B0">
        <w:t xml:space="preserve"> Core Investment Portfolio</w:t>
      </w:r>
    </w:p>
    <w:p w14:paraId="4BCC58F0" w14:textId="77777777" w:rsidR="002B21B0" w:rsidRPr="002B21B0" w:rsidRDefault="002B21B0" w:rsidP="002B21B0">
      <w:r w:rsidRPr="002B21B0">
        <w:rPr>
          <w:b/>
          <w:bCs/>
        </w:rPr>
        <w:t>Allocation 2:</w:t>
      </w:r>
      <w:r w:rsidRPr="002B21B0">
        <w:t xml:space="preserve"> PMS Strategy Exposure</w:t>
      </w:r>
    </w:p>
    <w:p w14:paraId="797CBEFC" w14:textId="77777777" w:rsidR="002B21B0" w:rsidRPr="002B21B0" w:rsidRDefault="002B21B0" w:rsidP="002B21B0">
      <w:r w:rsidRPr="002B21B0">
        <w:rPr>
          <w:b/>
          <w:bCs/>
        </w:rPr>
        <w:t>Allocation 3:</w:t>
      </w:r>
      <w:r w:rsidRPr="002B21B0">
        <w:t xml:space="preserve"> Liquidity &amp; Contingency</w:t>
      </w:r>
    </w:p>
    <w:p w14:paraId="41B7B48B" w14:textId="77777777" w:rsidR="002B21B0" w:rsidRPr="002B21B0" w:rsidRDefault="002B21B0" w:rsidP="002B21B0">
      <w:r w:rsidRPr="002B21B0">
        <w:rPr>
          <w:b/>
          <w:bCs/>
        </w:rPr>
        <w:t>Note:</w:t>
      </w:r>
      <w:r w:rsidRPr="002B21B0">
        <w:t xml:space="preserve"> An investment amount alone does not determine suitability. Consider existing assets, emergency reserves, concentration, investment costs and your capacity to withstand losses before allocating to PMS.</w:t>
      </w:r>
    </w:p>
    <w:p w14:paraId="3F962105" w14:textId="77777777" w:rsidR="002B21B0" w:rsidRPr="002B21B0" w:rsidRDefault="002B21B0" w:rsidP="002B21B0">
      <w:pPr>
        <w:rPr>
          <w:b/>
          <w:bCs/>
        </w:rPr>
      </w:pPr>
      <w:r w:rsidRPr="002B21B0">
        <w:rPr>
          <w:b/>
          <w:bCs/>
        </w:rPr>
        <w:t>Bracket 2</w:t>
      </w:r>
    </w:p>
    <w:p w14:paraId="7D7DA590" w14:textId="77777777" w:rsidR="002B21B0" w:rsidRPr="002B21B0" w:rsidRDefault="002B21B0" w:rsidP="002B21B0">
      <w:r w:rsidRPr="002B21B0">
        <w:rPr>
          <w:b/>
          <w:bCs/>
        </w:rPr>
        <w:t>Tab:</w:t>
      </w:r>
      <w:r w:rsidRPr="002B21B0">
        <w:t xml:space="preserve"> ₹1 Crore – ₹5 Crore</w:t>
      </w:r>
    </w:p>
    <w:p w14:paraId="584582F7" w14:textId="77777777" w:rsidR="002B21B0" w:rsidRPr="002B21B0" w:rsidRDefault="002B21B0" w:rsidP="002B21B0">
      <w:r w:rsidRPr="002B21B0">
        <w:rPr>
          <w:b/>
          <w:bCs/>
        </w:rPr>
        <w:t>Title:</w:t>
      </w:r>
      <w:r w:rsidRPr="002B21B0">
        <w:t xml:space="preserve"> Broadening The Mix</w:t>
      </w:r>
    </w:p>
    <w:p w14:paraId="7DBE2F18" w14:textId="77777777" w:rsidR="002B21B0" w:rsidRPr="002B21B0" w:rsidRDefault="002B21B0" w:rsidP="002B21B0">
      <w:r w:rsidRPr="002B21B0">
        <w:rPr>
          <w:b/>
          <w:bCs/>
        </w:rPr>
        <w:t>Allocation 1:</w:t>
      </w:r>
      <w:r w:rsidRPr="002B21B0">
        <w:t xml:space="preserve"> Diversified Core Holdings</w:t>
      </w:r>
    </w:p>
    <w:p w14:paraId="0421A51B" w14:textId="77777777" w:rsidR="002B21B0" w:rsidRPr="002B21B0" w:rsidRDefault="002B21B0" w:rsidP="002B21B0">
      <w:r w:rsidRPr="002B21B0">
        <w:rPr>
          <w:b/>
          <w:bCs/>
        </w:rPr>
        <w:t>Allocation 2:</w:t>
      </w:r>
      <w:r w:rsidRPr="002B21B0">
        <w:t xml:space="preserve"> PMS Investment Strategies</w:t>
      </w:r>
    </w:p>
    <w:p w14:paraId="19C7BA2D" w14:textId="77777777" w:rsidR="002B21B0" w:rsidRPr="002B21B0" w:rsidRDefault="002B21B0" w:rsidP="002B21B0">
      <w:r w:rsidRPr="002B21B0">
        <w:rPr>
          <w:b/>
          <w:bCs/>
        </w:rPr>
        <w:t>Allocation 3:</w:t>
      </w:r>
      <w:r w:rsidRPr="002B21B0">
        <w:t xml:space="preserve"> AIF Strategy Allocation</w:t>
      </w:r>
    </w:p>
    <w:p w14:paraId="1E3E211F" w14:textId="77777777" w:rsidR="002B21B0" w:rsidRPr="002B21B0" w:rsidRDefault="002B21B0" w:rsidP="002B21B0">
      <w:r w:rsidRPr="002B21B0">
        <w:rPr>
          <w:b/>
          <w:bCs/>
        </w:rPr>
        <w:lastRenderedPageBreak/>
        <w:t>Note:</w:t>
      </w:r>
      <w:r w:rsidRPr="002B21B0">
        <w:t xml:space="preserve"> PMS and AIFs involve different risks, costs, investment structures and liquidity terms. Exposure should be considered only after reviewing your wider portfolio and the terms of each product.</w:t>
      </w:r>
    </w:p>
    <w:p w14:paraId="508974C2" w14:textId="77777777" w:rsidR="002B21B0" w:rsidRPr="002B21B0" w:rsidRDefault="002B21B0" w:rsidP="002B21B0">
      <w:pPr>
        <w:rPr>
          <w:b/>
          <w:bCs/>
        </w:rPr>
      </w:pPr>
      <w:r w:rsidRPr="002B21B0">
        <w:rPr>
          <w:b/>
          <w:bCs/>
        </w:rPr>
        <w:t>Bracket 3</w:t>
      </w:r>
    </w:p>
    <w:p w14:paraId="44510FCB" w14:textId="77777777" w:rsidR="002B21B0" w:rsidRPr="002B21B0" w:rsidRDefault="002B21B0" w:rsidP="002B21B0">
      <w:r w:rsidRPr="002B21B0">
        <w:rPr>
          <w:b/>
          <w:bCs/>
        </w:rPr>
        <w:t>Tab:</w:t>
      </w:r>
      <w:r w:rsidRPr="002B21B0">
        <w:t xml:space="preserve"> Above ₹5 Crore</w:t>
      </w:r>
    </w:p>
    <w:p w14:paraId="74D7A600" w14:textId="77777777" w:rsidR="002B21B0" w:rsidRPr="002B21B0" w:rsidRDefault="002B21B0" w:rsidP="002B21B0">
      <w:r w:rsidRPr="002B21B0">
        <w:rPr>
          <w:b/>
          <w:bCs/>
        </w:rPr>
        <w:t>Title:</w:t>
      </w:r>
      <w:r w:rsidRPr="002B21B0">
        <w:t xml:space="preserve"> A Wider Perspective</w:t>
      </w:r>
    </w:p>
    <w:p w14:paraId="1008443D" w14:textId="77777777" w:rsidR="002B21B0" w:rsidRPr="002B21B0" w:rsidRDefault="002B21B0" w:rsidP="002B21B0">
      <w:r w:rsidRPr="002B21B0">
        <w:rPr>
          <w:b/>
          <w:bCs/>
        </w:rPr>
        <w:t>Allocation 1:</w:t>
      </w:r>
      <w:r w:rsidRPr="002B21B0">
        <w:t xml:space="preserve"> Core Portfolio Holdings</w:t>
      </w:r>
    </w:p>
    <w:p w14:paraId="282EA3EA" w14:textId="77777777" w:rsidR="002B21B0" w:rsidRPr="002B21B0" w:rsidRDefault="002B21B0" w:rsidP="002B21B0">
      <w:r w:rsidRPr="002B21B0">
        <w:rPr>
          <w:b/>
          <w:bCs/>
        </w:rPr>
        <w:t>Allocation 2:</w:t>
      </w:r>
      <w:r w:rsidRPr="002B21B0">
        <w:t xml:space="preserve"> PMS Managed Portfolios</w:t>
      </w:r>
    </w:p>
    <w:p w14:paraId="205313FD" w14:textId="77777777" w:rsidR="002B21B0" w:rsidRPr="002B21B0" w:rsidRDefault="002B21B0" w:rsidP="002B21B0">
      <w:r w:rsidRPr="002B21B0">
        <w:rPr>
          <w:b/>
          <w:bCs/>
        </w:rPr>
        <w:t>Allocation 3:</w:t>
      </w:r>
      <w:r w:rsidRPr="002B21B0">
        <w:t xml:space="preserve"> Alternative Fund Exposure</w:t>
      </w:r>
    </w:p>
    <w:p w14:paraId="2E328B6E" w14:textId="77777777" w:rsidR="002B21B0" w:rsidRPr="002B21B0" w:rsidRDefault="002B21B0" w:rsidP="002B21B0">
      <w:r w:rsidRPr="002B21B0">
        <w:rPr>
          <w:b/>
          <w:bCs/>
        </w:rPr>
        <w:t>Allocation 4:</w:t>
      </w:r>
      <w:r w:rsidRPr="002B21B0">
        <w:t xml:space="preserve"> Liquidity &amp; Future Commitments</w:t>
      </w:r>
    </w:p>
    <w:p w14:paraId="641BCF7A" w14:textId="77777777" w:rsidR="002B21B0" w:rsidRPr="002B21B0" w:rsidRDefault="002B21B0" w:rsidP="002B21B0">
      <w:r w:rsidRPr="002B21B0">
        <w:rPr>
          <w:b/>
          <w:bCs/>
        </w:rPr>
        <w:t>Note:</w:t>
      </w:r>
      <w:r w:rsidRPr="002B21B0">
        <w:t xml:space="preserve"> A larger portfolio may allow access to different investment structures, but does not remove market or liquidity risk. Allocation decisions should reflect suitability, diversification and future cash needs.</w:t>
      </w:r>
    </w:p>
    <w:p w14:paraId="19F37754" w14:textId="77777777" w:rsidR="002B21B0" w:rsidRPr="002B21B0" w:rsidRDefault="002B21B0" w:rsidP="002B21B0">
      <w:r w:rsidRPr="002B21B0">
        <w:pict w14:anchorId="23BE148B">
          <v:rect id="_x0000_i1079" style="width:0;height:1.5pt" o:hralign="center" o:hrstd="t" o:hr="t" fillcolor="#a0a0a0" stroked="f"/>
        </w:pict>
      </w:r>
    </w:p>
    <w:p w14:paraId="2C359C98" w14:textId="77777777" w:rsidR="002B21B0" w:rsidRPr="002B21B0" w:rsidRDefault="002B21B0" w:rsidP="002B21B0">
      <w:pPr>
        <w:rPr>
          <w:b/>
          <w:bCs/>
        </w:rPr>
      </w:pPr>
      <w:r w:rsidRPr="002B21B0">
        <w:rPr>
          <w:b/>
          <w:bCs/>
        </w:rPr>
        <w:t>3. Governance</w:t>
      </w:r>
    </w:p>
    <w:p w14:paraId="1FC54D36" w14:textId="77777777" w:rsidR="002B21B0" w:rsidRPr="002B21B0" w:rsidRDefault="002B21B0" w:rsidP="002B21B0">
      <w:pPr>
        <w:rPr>
          <w:b/>
          <w:bCs/>
        </w:rPr>
      </w:pPr>
      <w:r w:rsidRPr="002B21B0">
        <w:rPr>
          <w:b/>
          <w:bCs/>
        </w:rPr>
        <w:t>Clarity At Every Step</w:t>
      </w:r>
    </w:p>
    <w:p w14:paraId="6F2FC9DC" w14:textId="77777777" w:rsidR="002B21B0" w:rsidRPr="002B21B0" w:rsidRDefault="002B21B0" w:rsidP="002B21B0">
      <w:r w:rsidRPr="002B21B0">
        <w:t>Investment decisions deserve proper assessment, clear disclosures and informed conversations.</w:t>
      </w:r>
    </w:p>
    <w:p w14:paraId="175FF46F" w14:textId="77777777" w:rsidR="002B21B0" w:rsidRPr="002B21B0" w:rsidRDefault="002B21B0" w:rsidP="002B21B0">
      <w:pPr>
        <w:rPr>
          <w:b/>
          <w:bCs/>
        </w:rPr>
      </w:pPr>
      <w:r w:rsidRPr="002B21B0">
        <w:rPr>
          <w:b/>
          <w:bCs/>
        </w:rPr>
        <w:t>01. Suitability Review</w:t>
      </w:r>
    </w:p>
    <w:p w14:paraId="5731155F" w14:textId="77777777" w:rsidR="002B21B0" w:rsidRPr="002B21B0" w:rsidRDefault="002B21B0" w:rsidP="002B21B0">
      <w:r w:rsidRPr="002B21B0">
        <w:rPr>
          <w:b/>
          <w:bCs/>
        </w:rPr>
        <w:t>Label:</w:t>
      </w:r>
      <w:r w:rsidRPr="002B21B0">
        <w:t xml:space="preserve"> Understand Your Needs</w:t>
      </w:r>
    </w:p>
    <w:p w14:paraId="110DCF8E" w14:textId="77777777" w:rsidR="002B21B0" w:rsidRPr="002B21B0" w:rsidRDefault="002B21B0" w:rsidP="002B21B0">
      <w:r w:rsidRPr="002B21B0">
        <w:t>We assess investment goals, risk capacity, liquidity requirements and experience before discussing potential exposure.</w:t>
      </w:r>
    </w:p>
    <w:p w14:paraId="59E03F98" w14:textId="77777777" w:rsidR="002B21B0" w:rsidRPr="002B21B0" w:rsidRDefault="002B21B0" w:rsidP="002B21B0">
      <w:pPr>
        <w:rPr>
          <w:b/>
          <w:bCs/>
        </w:rPr>
      </w:pPr>
      <w:r w:rsidRPr="002B21B0">
        <w:rPr>
          <w:b/>
          <w:bCs/>
        </w:rPr>
        <w:t>02. Investment Due Diligence</w:t>
      </w:r>
    </w:p>
    <w:p w14:paraId="0AF48F3A" w14:textId="77777777" w:rsidR="002B21B0" w:rsidRPr="002B21B0" w:rsidRDefault="002B21B0" w:rsidP="002B21B0">
      <w:r w:rsidRPr="002B21B0">
        <w:rPr>
          <w:b/>
          <w:bCs/>
        </w:rPr>
        <w:t>Label:</w:t>
      </w:r>
      <w:r w:rsidRPr="002B21B0">
        <w:t xml:space="preserve"> Look Beyond Returns</w:t>
      </w:r>
    </w:p>
    <w:p w14:paraId="632751DA" w14:textId="77777777" w:rsidR="002B21B0" w:rsidRPr="002B21B0" w:rsidRDefault="002B21B0" w:rsidP="002B21B0">
      <w:r w:rsidRPr="002B21B0">
        <w:t>We consider strategy, manager disclosures, fees, concentration, valuation practices and relevant investment risks.</w:t>
      </w:r>
    </w:p>
    <w:p w14:paraId="767BF15B" w14:textId="77777777" w:rsidR="002B21B0" w:rsidRPr="002B21B0" w:rsidRDefault="002B21B0" w:rsidP="002B21B0">
      <w:pPr>
        <w:rPr>
          <w:b/>
          <w:bCs/>
        </w:rPr>
      </w:pPr>
      <w:r w:rsidRPr="002B21B0">
        <w:rPr>
          <w:b/>
          <w:bCs/>
        </w:rPr>
        <w:t>03. Ongoing Oversight</w:t>
      </w:r>
    </w:p>
    <w:p w14:paraId="0BE7361C" w14:textId="77777777" w:rsidR="002B21B0" w:rsidRPr="002B21B0" w:rsidRDefault="002B21B0" w:rsidP="002B21B0">
      <w:r w:rsidRPr="002B21B0">
        <w:rPr>
          <w:b/>
          <w:bCs/>
        </w:rPr>
        <w:t>Label:</w:t>
      </w:r>
      <w:r w:rsidRPr="002B21B0">
        <w:t xml:space="preserve"> Stay Informed</w:t>
      </w:r>
    </w:p>
    <w:p w14:paraId="40138200" w14:textId="77777777" w:rsidR="002B21B0" w:rsidRPr="002B21B0" w:rsidRDefault="002B21B0" w:rsidP="002B21B0">
      <w:r w:rsidRPr="002B21B0">
        <w:t>We support periodic discussions of portfolio information, material changes and suitability as your needs evolve.</w:t>
      </w:r>
    </w:p>
    <w:p w14:paraId="476F0BD2" w14:textId="77777777" w:rsidR="002B21B0" w:rsidRPr="002B21B0" w:rsidRDefault="002B21B0" w:rsidP="002B21B0">
      <w:r w:rsidRPr="002B21B0">
        <w:pict w14:anchorId="4E26EAFE">
          <v:rect id="_x0000_i1080" style="width:0;height:1.5pt" o:hralign="center" o:hrstd="t" o:hr="t" fillcolor="#a0a0a0" stroked="f"/>
        </w:pict>
      </w:r>
    </w:p>
    <w:p w14:paraId="0A255E9E" w14:textId="77777777" w:rsidR="002B21B0" w:rsidRPr="002B21B0" w:rsidRDefault="002B21B0" w:rsidP="002B21B0">
      <w:pPr>
        <w:rPr>
          <w:b/>
          <w:bCs/>
        </w:rPr>
      </w:pPr>
      <w:r w:rsidRPr="002B21B0">
        <w:rPr>
          <w:b/>
          <w:bCs/>
        </w:rPr>
        <w:t>4. Frequently Asked Questions</w:t>
      </w:r>
    </w:p>
    <w:p w14:paraId="56AB9961" w14:textId="77777777" w:rsidR="002B21B0" w:rsidRPr="002B21B0" w:rsidRDefault="002B21B0" w:rsidP="002B21B0">
      <w:pPr>
        <w:rPr>
          <w:b/>
          <w:bCs/>
        </w:rPr>
      </w:pPr>
      <w:r w:rsidRPr="002B21B0">
        <w:rPr>
          <w:b/>
          <w:bCs/>
        </w:rPr>
        <w:t>Your Questions</w:t>
      </w:r>
    </w:p>
    <w:p w14:paraId="1028111B" w14:textId="77777777" w:rsidR="002B21B0" w:rsidRPr="002B21B0" w:rsidRDefault="002B21B0" w:rsidP="002B21B0">
      <w:r w:rsidRPr="002B21B0">
        <w:t>Understand the essentials before exploring a PMS or AIF investment.</w:t>
      </w:r>
    </w:p>
    <w:p w14:paraId="6C24FDBE" w14:textId="77777777" w:rsidR="002B21B0" w:rsidRPr="002B21B0" w:rsidRDefault="002B21B0" w:rsidP="002B21B0">
      <w:pPr>
        <w:rPr>
          <w:b/>
          <w:bCs/>
        </w:rPr>
      </w:pPr>
      <w:r w:rsidRPr="002B21B0">
        <w:rPr>
          <w:b/>
          <w:bCs/>
        </w:rPr>
        <w:lastRenderedPageBreak/>
        <w:t>Q1. What is the difference between PMS and AIF investments?</w:t>
      </w:r>
    </w:p>
    <w:p w14:paraId="6227400F" w14:textId="77777777" w:rsidR="002B21B0" w:rsidRPr="002B21B0" w:rsidRDefault="002B21B0" w:rsidP="002B21B0">
      <w:r w:rsidRPr="002B21B0">
        <w:t>PMS is a portfolio management service where securities are generally held directly for the investor under an agreed mandate. An AIF is a pooled investment vehicle in which investors hold units. The two structures differ in ownership, investment strategies, liquidity, reporting and taxation. Both carry investment risks.</w:t>
      </w:r>
    </w:p>
    <w:p w14:paraId="16D157CB" w14:textId="77777777" w:rsidR="002B21B0" w:rsidRPr="002B21B0" w:rsidRDefault="002B21B0" w:rsidP="002B21B0">
      <w:pPr>
        <w:rPr>
          <w:b/>
          <w:bCs/>
        </w:rPr>
      </w:pPr>
      <w:r w:rsidRPr="002B21B0">
        <w:rPr>
          <w:b/>
          <w:bCs/>
        </w:rPr>
        <w:t>Q2. What is the minimum investment required for PMS and AIF?</w:t>
      </w:r>
    </w:p>
    <w:p w14:paraId="7821C023" w14:textId="77777777" w:rsidR="002B21B0" w:rsidRPr="002B21B0" w:rsidRDefault="002B21B0" w:rsidP="002B21B0">
      <w:r w:rsidRPr="002B21B0">
        <w:t>The standard minimum is ₹50 lakh for PMS and ₹1 crore for AIFs. Regulatory exceptions may apply, including for eligible accredited investors and certain other specified cases. Individual managers or schemes may require higher commitments. Eligibility should be confirmed before any investment decision.</w:t>
      </w:r>
    </w:p>
    <w:p w14:paraId="41D5042A" w14:textId="77777777" w:rsidR="002B21B0" w:rsidRPr="002B21B0" w:rsidRDefault="002B21B0" w:rsidP="002B21B0">
      <w:pPr>
        <w:rPr>
          <w:b/>
          <w:bCs/>
        </w:rPr>
      </w:pPr>
      <w:r w:rsidRPr="002B21B0">
        <w:rPr>
          <w:b/>
          <w:bCs/>
        </w:rPr>
        <w:t>Q3. Are PMS and AIF investments suitable for every investor?</w:t>
      </w:r>
    </w:p>
    <w:p w14:paraId="240D8611" w14:textId="77777777" w:rsidR="002B21B0" w:rsidRPr="002B21B0" w:rsidRDefault="002B21B0" w:rsidP="002B21B0">
      <w:r w:rsidRPr="002B21B0">
        <w:t>No. PMS and AIF investments may involve concentrated exposure, market volatility, limited liquidity, higher costs or complex strategies. Suitability depends on your financial circumstances, objectives, investment horizon, risk capacity and understanding of the product. A larger investment amount does not automatically make either suitable.</w:t>
      </w:r>
    </w:p>
    <w:p w14:paraId="35DD069B" w14:textId="77777777" w:rsidR="002B21B0" w:rsidRPr="002B21B0" w:rsidRDefault="002B21B0" w:rsidP="002B21B0">
      <w:pPr>
        <w:rPr>
          <w:b/>
          <w:bCs/>
        </w:rPr>
      </w:pPr>
      <w:r w:rsidRPr="002B21B0">
        <w:rPr>
          <w:b/>
          <w:bCs/>
        </w:rPr>
        <w:t>Q4. Can I withdraw my money whenever I need it?</w:t>
      </w:r>
    </w:p>
    <w:p w14:paraId="7B532645" w14:textId="77777777" w:rsidR="002B21B0" w:rsidRPr="002B21B0" w:rsidRDefault="002B21B0" w:rsidP="002B21B0">
      <w:r w:rsidRPr="002B21B0">
        <w:t>Withdrawal terms depend on the investment structure and governing documents. PMS withdrawals may be subject to the client agreement, asset liquidity and applicable charges. Many AIFs have defined tenures, commitments or restrictions on redemption. Review exit provisions and expected cash requirements before investing.</w:t>
      </w:r>
    </w:p>
    <w:p w14:paraId="3FF02D96" w14:textId="77777777" w:rsidR="002B21B0" w:rsidRPr="002B21B0" w:rsidRDefault="002B21B0" w:rsidP="002B21B0">
      <w:pPr>
        <w:rPr>
          <w:b/>
          <w:bCs/>
        </w:rPr>
      </w:pPr>
      <w:r w:rsidRPr="002B21B0">
        <w:rPr>
          <w:b/>
          <w:bCs/>
        </w:rPr>
        <w:t>Q5. How does One Capital help me evaluate PMS and AIF options?</w:t>
      </w:r>
    </w:p>
    <w:p w14:paraId="7C11AB88" w14:textId="77777777" w:rsidR="002B21B0" w:rsidRPr="002B21B0" w:rsidRDefault="002B21B0" w:rsidP="002B21B0">
      <w:r w:rsidRPr="002B21B0">
        <w:t>One Capital's proposed advisory journey begins with understanding your goals, financial position and risk profile. Relevant products can then be discussed in terms of strategy, costs, risks, liquidity and suitability. The exact scope of advice, distribution and ongoing support should be confirmed through the applicable engagement disclosures.</w:t>
      </w:r>
    </w:p>
    <w:p w14:paraId="4CEE6AA7" w14:textId="77777777" w:rsidR="002B21B0" w:rsidRPr="002B21B0" w:rsidRDefault="002B21B0" w:rsidP="002B21B0">
      <w:pPr>
        <w:rPr>
          <w:b/>
          <w:bCs/>
        </w:rPr>
      </w:pPr>
      <w:r w:rsidRPr="002B21B0">
        <w:rPr>
          <w:b/>
          <w:bCs/>
        </w:rPr>
        <w:t>2. PMS vs AIF – Comparison Table</w:t>
      </w:r>
    </w:p>
    <w:p w14:paraId="717E7862" w14:textId="77777777" w:rsidR="002B21B0" w:rsidRPr="002B21B0" w:rsidRDefault="002B21B0" w:rsidP="002B21B0">
      <w:pPr>
        <w:rPr>
          <w:b/>
          <w:bCs/>
        </w:rPr>
      </w:pPr>
      <w:r w:rsidRPr="002B21B0">
        <w:rPr>
          <w:b/>
          <w:bCs/>
        </w:rPr>
        <w:t>Understanding the Differences</w:t>
      </w:r>
    </w:p>
    <w:p w14:paraId="1BDD4123" w14:textId="77777777" w:rsidR="002B21B0" w:rsidRPr="002B21B0" w:rsidRDefault="002B21B0" w:rsidP="002B21B0">
      <w:r w:rsidRPr="002B21B0">
        <w:t>Two investment structures with distinct ownership, flexibility and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3728"/>
        <w:gridCol w:w="3546"/>
      </w:tblGrid>
      <w:tr w:rsidR="002B21B0" w:rsidRPr="002B21B0" w14:paraId="514D9071" w14:textId="77777777">
        <w:trPr>
          <w:tblCellSpacing w:w="15" w:type="dxa"/>
        </w:trPr>
        <w:tc>
          <w:tcPr>
            <w:tcW w:w="0" w:type="auto"/>
            <w:vAlign w:val="center"/>
            <w:hideMark/>
          </w:tcPr>
          <w:p w14:paraId="1218A72C" w14:textId="77777777" w:rsidR="002B21B0" w:rsidRPr="002B21B0" w:rsidRDefault="002B21B0" w:rsidP="002B21B0">
            <w:pPr>
              <w:rPr>
                <w:b/>
                <w:bCs/>
              </w:rPr>
            </w:pPr>
            <w:r w:rsidRPr="002B21B0">
              <w:rPr>
                <w:b/>
                <w:bCs/>
              </w:rPr>
              <w:t>Parameter</w:t>
            </w:r>
          </w:p>
        </w:tc>
        <w:tc>
          <w:tcPr>
            <w:tcW w:w="0" w:type="auto"/>
            <w:vAlign w:val="center"/>
            <w:hideMark/>
          </w:tcPr>
          <w:p w14:paraId="56D1F316" w14:textId="77777777" w:rsidR="002B21B0" w:rsidRPr="002B21B0" w:rsidRDefault="002B21B0" w:rsidP="002B21B0">
            <w:pPr>
              <w:rPr>
                <w:b/>
                <w:bCs/>
              </w:rPr>
            </w:pPr>
            <w:r w:rsidRPr="002B21B0">
              <w:rPr>
                <w:b/>
                <w:bCs/>
              </w:rPr>
              <w:t>PMS</w:t>
            </w:r>
          </w:p>
        </w:tc>
        <w:tc>
          <w:tcPr>
            <w:tcW w:w="0" w:type="auto"/>
            <w:vAlign w:val="center"/>
            <w:hideMark/>
          </w:tcPr>
          <w:p w14:paraId="4F67845C" w14:textId="77777777" w:rsidR="002B21B0" w:rsidRPr="002B21B0" w:rsidRDefault="002B21B0" w:rsidP="002B21B0">
            <w:pPr>
              <w:rPr>
                <w:b/>
                <w:bCs/>
              </w:rPr>
            </w:pPr>
            <w:r w:rsidRPr="002B21B0">
              <w:rPr>
                <w:b/>
                <w:bCs/>
              </w:rPr>
              <w:t>AIF</w:t>
            </w:r>
          </w:p>
        </w:tc>
      </w:tr>
      <w:tr w:rsidR="002B21B0" w:rsidRPr="002B21B0" w14:paraId="2F3C32E5" w14:textId="77777777">
        <w:trPr>
          <w:tblCellSpacing w:w="15" w:type="dxa"/>
        </w:trPr>
        <w:tc>
          <w:tcPr>
            <w:tcW w:w="0" w:type="auto"/>
            <w:vAlign w:val="center"/>
            <w:hideMark/>
          </w:tcPr>
          <w:p w14:paraId="27AB22C8" w14:textId="77777777" w:rsidR="002B21B0" w:rsidRPr="002B21B0" w:rsidRDefault="002B21B0" w:rsidP="002B21B0">
            <w:r w:rsidRPr="002B21B0">
              <w:t>Minimum Investment</w:t>
            </w:r>
          </w:p>
        </w:tc>
        <w:tc>
          <w:tcPr>
            <w:tcW w:w="0" w:type="auto"/>
            <w:vAlign w:val="center"/>
            <w:hideMark/>
          </w:tcPr>
          <w:p w14:paraId="6B62236D" w14:textId="77777777" w:rsidR="002B21B0" w:rsidRPr="002B21B0" w:rsidRDefault="002B21B0" w:rsidP="002B21B0">
            <w:proofErr w:type="gramStart"/>
            <w:r w:rsidRPr="002B21B0">
              <w:t>Generally</w:t>
            </w:r>
            <w:proofErr w:type="gramEnd"/>
            <w:r w:rsidRPr="002B21B0">
              <w:t xml:space="preserve"> ₹50 lakh, with specified regulatory exceptions.</w:t>
            </w:r>
          </w:p>
        </w:tc>
        <w:tc>
          <w:tcPr>
            <w:tcW w:w="0" w:type="auto"/>
            <w:vAlign w:val="center"/>
            <w:hideMark/>
          </w:tcPr>
          <w:p w14:paraId="2EF60575" w14:textId="77777777" w:rsidR="002B21B0" w:rsidRPr="002B21B0" w:rsidRDefault="002B21B0" w:rsidP="002B21B0">
            <w:proofErr w:type="gramStart"/>
            <w:r w:rsidRPr="002B21B0">
              <w:t>Generally</w:t>
            </w:r>
            <w:proofErr w:type="gramEnd"/>
            <w:r w:rsidRPr="002B21B0">
              <w:t xml:space="preserve"> ₹1 crore, with specified regulatory exceptions.</w:t>
            </w:r>
          </w:p>
        </w:tc>
      </w:tr>
      <w:tr w:rsidR="002B21B0" w:rsidRPr="002B21B0" w14:paraId="185D9555" w14:textId="77777777">
        <w:trPr>
          <w:tblCellSpacing w:w="15" w:type="dxa"/>
        </w:trPr>
        <w:tc>
          <w:tcPr>
            <w:tcW w:w="0" w:type="auto"/>
            <w:vAlign w:val="center"/>
            <w:hideMark/>
          </w:tcPr>
          <w:p w14:paraId="3379496B" w14:textId="77777777" w:rsidR="002B21B0" w:rsidRPr="002B21B0" w:rsidRDefault="002B21B0" w:rsidP="002B21B0">
            <w:r w:rsidRPr="002B21B0">
              <w:t>Ownership Structure</w:t>
            </w:r>
          </w:p>
        </w:tc>
        <w:tc>
          <w:tcPr>
            <w:tcW w:w="0" w:type="auto"/>
            <w:vAlign w:val="center"/>
            <w:hideMark/>
          </w:tcPr>
          <w:p w14:paraId="4F02599F" w14:textId="77777777" w:rsidR="002B21B0" w:rsidRPr="002B21B0" w:rsidRDefault="002B21B0" w:rsidP="002B21B0">
            <w:r w:rsidRPr="002B21B0">
              <w:t>Securities are generally held directly in the client's name.</w:t>
            </w:r>
          </w:p>
        </w:tc>
        <w:tc>
          <w:tcPr>
            <w:tcW w:w="0" w:type="auto"/>
            <w:vAlign w:val="center"/>
            <w:hideMark/>
          </w:tcPr>
          <w:p w14:paraId="28351B1B" w14:textId="77777777" w:rsidR="002B21B0" w:rsidRPr="002B21B0" w:rsidRDefault="002B21B0" w:rsidP="002B21B0">
            <w:r w:rsidRPr="002B21B0">
              <w:t>Investors own fund units rather than underlying assets directly.</w:t>
            </w:r>
          </w:p>
        </w:tc>
      </w:tr>
      <w:tr w:rsidR="002B21B0" w:rsidRPr="002B21B0" w14:paraId="5DA3EBFB" w14:textId="77777777">
        <w:trPr>
          <w:tblCellSpacing w:w="15" w:type="dxa"/>
        </w:trPr>
        <w:tc>
          <w:tcPr>
            <w:tcW w:w="0" w:type="auto"/>
            <w:vAlign w:val="center"/>
            <w:hideMark/>
          </w:tcPr>
          <w:p w14:paraId="59368C09" w14:textId="77777777" w:rsidR="002B21B0" w:rsidRPr="002B21B0" w:rsidRDefault="002B21B0" w:rsidP="002B21B0">
            <w:r w:rsidRPr="002B21B0">
              <w:t>Investment Assets</w:t>
            </w:r>
          </w:p>
        </w:tc>
        <w:tc>
          <w:tcPr>
            <w:tcW w:w="0" w:type="auto"/>
            <w:vAlign w:val="center"/>
            <w:hideMark/>
          </w:tcPr>
          <w:p w14:paraId="1CA70AEA" w14:textId="77777777" w:rsidR="002B21B0" w:rsidRPr="002B21B0" w:rsidRDefault="002B21B0" w:rsidP="002B21B0">
            <w:r w:rsidRPr="002B21B0">
              <w:t>Securities selected within the agreed client investment mandate.</w:t>
            </w:r>
          </w:p>
        </w:tc>
        <w:tc>
          <w:tcPr>
            <w:tcW w:w="0" w:type="auto"/>
            <w:vAlign w:val="center"/>
            <w:hideMark/>
          </w:tcPr>
          <w:p w14:paraId="4F5A7E16" w14:textId="77777777" w:rsidR="002B21B0" w:rsidRPr="002B21B0" w:rsidRDefault="002B21B0" w:rsidP="002B21B0">
            <w:r w:rsidRPr="002B21B0">
              <w:t>Assets and strategies depend on the fund category and mandate.</w:t>
            </w:r>
          </w:p>
        </w:tc>
      </w:tr>
      <w:tr w:rsidR="002B21B0" w:rsidRPr="002B21B0" w14:paraId="716F1933" w14:textId="77777777">
        <w:trPr>
          <w:tblCellSpacing w:w="15" w:type="dxa"/>
        </w:trPr>
        <w:tc>
          <w:tcPr>
            <w:tcW w:w="0" w:type="auto"/>
            <w:vAlign w:val="center"/>
            <w:hideMark/>
          </w:tcPr>
          <w:p w14:paraId="74A0DBCA" w14:textId="77777777" w:rsidR="002B21B0" w:rsidRPr="002B21B0" w:rsidRDefault="002B21B0" w:rsidP="002B21B0">
            <w:r w:rsidRPr="002B21B0">
              <w:t>Customization</w:t>
            </w:r>
          </w:p>
        </w:tc>
        <w:tc>
          <w:tcPr>
            <w:tcW w:w="0" w:type="auto"/>
            <w:vAlign w:val="center"/>
            <w:hideMark/>
          </w:tcPr>
          <w:p w14:paraId="5A1CCBE4" w14:textId="77777777" w:rsidR="002B21B0" w:rsidRPr="002B21B0" w:rsidRDefault="002B21B0" w:rsidP="002B21B0">
            <w:r w:rsidRPr="002B21B0">
              <w:t>May allow individual mandates, preferences and agreed restrictions.</w:t>
            </w:r>
          </w:p>
        </w:tc>
        <w:tc>
          <w:tcPr>
            <w:tcW w:w="0" w:type="auto"/>
            <w:vAlign w:val="center"/>
            <w:hideMark/>
          </w:tcPr>
          <w:p w14:paraId="1DC6DF3E" w14:textId="77777777" w:rsidR="002B21B0" w:rsidRPr="002B21B0" w:rsidRDefault="002B21B0" w:rsidP="002B21B0">
            <w:r w:rsidRPr="002B21B0">
              <w:t>Investors generally follow a common strategy and fund mandate.</w:t>
            </w:r>
          </w:p>
        </w:tc>
      </w:tr>
      <w:tr w:rsidR="002B21B0" w:rsidRPr="002B21B0" w14:paraId="509145C6" w14:textId="77777777">
        <w:trPr>
          <w:tblCellSpacing w:w="15" w:type="dxa"/>
        </w:trPr>
        <w:tc>
          <w:tcPr>
            <w:tcW w:w="0" w:type="auto"/>
            <w:vAlign w:val="center"/>
            <w:hideMark/>
          </w:tcPr>
          <w:p w14:paraId="4E26A4E6" w14:textId="77777777" w:rsidR="002B21B0" w:rsidRPr="002B21B0" w:rsidRDefault="002B21B0" w:rsidP="002B21B0">
            <w:r w:rsidRPr="002B21B0">
              <w:lastRenderedPageBreak/>
              <w:t>Liquidity &amp; Exit</w:t>
            </w:r>
          </w:p>
        </w:tc>
        <w:tc>
          <w:tcPr>
            <w:tcW w:w="0" w:type="auto"/>
            <w:vAlign w:val="center"/>
            <w:hideMark/>
          </w:tcPr>
          <w:p w14:paraId="3B90F0A2" w14:textId="77777777" w:rsidR="002B21B0" w:rsidRPr="002B21B0" w:rsidRDefault="002B21B0" w:rsidP="002B21B0">
            <w:r w:rsidRPr="002B21B0">
              <w:t>Withdrawals depend on portfolio assets and contractual terms.</w:t>
            </w:r>
          </w:p>
        </w:tc>
        <w:tc>
          <w:tcPr>
            <w:tcW w:w="0" w:type="auto"/>
            <w:vAlign w:val="center"/>
            <w:hideMark/>
          </w:tcPr>
          <w:p w14:paraId="426C51F7" w14:textId="77777777" w:rsidR="002B21B0" w:rsidRPr="002B21B0" w:rsidRDefault="002B21B0" w:rsidP="002B21B0">
            <w:r w:rsidRPr="002B21B0">
              <w:t>Liquidity depends on the scheme, tenure and redemption terms.</w:t>
            </w:r>
          </w:p>
        </w:tc>
      </w:tr>
      <w:tr w:rsidR="002B21B0" w:rsidRPr="002B21B0" w14:paraId="7EFFF625" w14:textId="77777777">
        <w:trPr>
          <w:tblCellSpacing w:w="15" w:type="dxa"/>
        </w:trPr>
        <w:tc>
          <w:tcPr>
            <w:tcW w:w="0" w:type="auto"/>
            <w:vAlign w:val="center"/>
            <w:hideMark/>
          </w:tcPr>
          <w:p w14:paraId="702E9CFC" w14:textId="77777777" w:rsidR="002B21B0" w:rsidRPr="002B21B0" w:rsidRDefault="002B21B0" w:rsidP="002B21B0">
            <w:r w:rsidRPr="002B21B0">
              <w:t>Tax Treatment</w:t>
            </w:r>
          </w:p>
        </w:tc>
        <w:tc>
          <w:tcPr>
            <w:tcW w:w="0" w:type="auto"/>
            <w:vAlign w:val="center"/>
            <w:hideMark/>
          </w:tcPr>
          <w:p w14:paraId="47496A81" w14:textId="77777777" w:rsidR="002B21B0" w:rsidRPr="002B21B0" w:rsidRDefault="002B21B0" w:rsidP="002B21B0">
            <w:r w:rsidRPr="002B21B0">
              <w:t>Tax treatment generally depends on investor-level transactions.</w:t>
            </w:r>
          </w:p>
        </w:tc>
        <w:tc>
          <w:tcPr>
            <w:tcW w:w="0" w:type="auto"/>
            <w:vAlign w:val="center"/>
            <w:hideMark/>
          </w:tcPr>
          <w:p w14:paraId="6687B38C" w14:textId="77777777" w:rsidR="002B21B0" w:rsidRPr="002B21B0" w:rsidRDefault="002B21B0" w:rsidP="002B21B0">
            <w:r w:rsidRPr="002B21B0">
              <w:t>Tax treatment varies across AIF categories and income types.</w:t>
            </w:r>
          </w:p>
        </w:tc>
      </w:tr>
      <w:tr w:rsidR="002B21B0" w:rsidRPr="002B21B0" w14:paraId="6A8B13FA" w14:textId="77777777">
        <w:trPr>
          <w:tblCellSpacing w:w="15" w:type="dxa"/>
        </w:trPr>
        <w:tc>
          <w:tcPr>
            <w:tcW w:w="0" w:type="auto"/>
            <w:vAlign w:val="center"/>
            <w:hideMark/>
          </w:tcPr>
          <w:p w14:paraId="3C92E60C" w14:textId="77777777" w:rsidR="002B21B0" w:rsidRPr="002B21B0" w:rsidRDefault="002B21B0" w:rsidP="002B21B0">
            <w:r w:rsidRPr="002B21B0">
              <w:t>Transparency</w:t>
            </w:r>
          </w:p>
        </w:tc>
        <w:tc>
          <w:tcPr>
            <w:tcW w:w="0" w:type="auto"/>
            <w:vAlign w:val="center"/>
            <w:hideMark/>
          </w:tcPr>
          <w:p w14:paraId="6A9036E5" w14:textId="77777777" w:rsidR="002B21B0" w:rsidRPr="002B21B0" w:rsidRDefault="002B21B0" w:rsidP="002B21B0">
            <w:r w:rsidRPr="002B21B0">
              <w:t>Client-specific holdings, transactions and performance reporting.</w:t>
            </w:r>
          </w:p>
        </w:tc>
        <w:tc>
          <w:tcPr>
            <w:tcW w:w="0" w:type="auto"/>
            <w:vAlign w:val="center"/>
            <w:hideMark/>
          </w:tcPr>
          <w:p w14:paraId="3996D58B" w14:textId="77777777" w:rsidR="002B21B0" w:rsidRPr="002B21B0" w:rsidRDefault="002B21B0" w:rsidP="002B21B0">
            <w:r w:rsidRPr="002B21B0">
              <w:t>Fund-level disclosures, valuations and investor reporting.</w:t>
            </w:r>
          </w:p>
        </w:tc>
      </w:tr>
    </w:tbl>
    <w:p w14:paraId="748A5FE5" w14:textId="77777777" w:rsidR="002B21B0" w:rsidRPr="002B21B0" w:rsidRDefault="002B21B0" w:rsidP="002B21B0">
      <w:r w:rsidRPr="002B21B0">
        <w:t xml:space="preserve">Comparison is indicative. Actual features depend on the portfolio manager, AIF category, strategy and contractual documentation. </w:t>
      </w:r>
    </w:p>
    <w:p w14:paraId="63A5337C" w14:textId="77777777" w:rsidR="002B21B0" w:rsidRPr="002B21B0" w:rsidRDefault="002B21B0" w:rsidP="002B21B0">
      <w:pPr>
        <w:rPr>
          <w:b/>
          <w:bCs/>
        </w:rPr>
      </w:pPr>
      <w:r w:rsidRPr="002B21B0">
        <w:rPr>
          <w:b/>
          <w:bCs/>
        </w:rPr>
        <w:t>4. SEO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7436"/>
      </w:tblGrid>
      <w:tr w:rsidR="002B21B0" w:rsidRPr="002B21B0" w14:paraId="580CE069" w14:textId="77777777">
        <w:trPr>
          <w:tblCellSpacing w:w="15" w:type="dxa"/>
        </w:trPr>
        <w:tc>
          <w:tcPr>
            <w:tcW w:w="0" w:type="auto"/>
            <w:vAlign w:val="center"/>
            <w:hideMark/>
          </w:tcPr>
          <w:p w14:paraId="53B50C4A" w14:textId="77777777" w:rsidR="002B21B0" w:rsidRPr="002B21B0" w:rsidRDefault="002B21B0" w:rsidP="002B21B0">
            <w:pPr>
              <w:rPr>
                <w:b/>
                <w:bCs/>
              </w:rPr>
            </w:pPr>
            <w:r w:rsidRPr="002B21B0">
              <w:rPr>
                <w:b/>
                <w:bCs/>
              </w:rPr>
              <w:t>Element</w:t>
            </w:r>
          </w:p>
        </w:tc>
        <w:tc>
          <w:tcPr>
            <w:tcW w:w="0" w:type="auto"/>
            <w:vAlign w:val="center"/>
            <w:hideMark/>
          </w:tcPr>
          <w:p w14:paraId="63A55077" w14:textId="77777777" w:rsidR="002B21B0" w:rsidRPr="002B21B0" w:rsidRDefault="002B21B0" w:rsidP="002B21B0">
            <w:pPr>
              <w:rPr>
                <w:b/>
                <w:bCs/>
              </w:rPr>
            </w:pPr>
            <w:r w:rsidRPr="002B21B0">
              <w:rPr>
                <w:b/>
                <w:bCs/>
              </w:rPr>
              <w:t>Recommended copy</w:t>
            </w:r>
          </w:p>
        </w:tc>
      </w:tr>
      <w:tr w:rsidR="002B21B0" w:rsidRPr="002B21B0" w14:paraId="13307130" w14:textId="77777777">
        <w:trPr>
          <w:tblCellSpacing w:w="15" w:type="dxa"/>
        </w:trPr>
        <w:tc>
          <w:tcPr>
            <w:tcW w:w="0" w:type="auto"/>
            <w:vAlign w:val="center"/>
            <w:hideMark/>
          </w:tcPr>
          <w:p w14:paraId="010A0DAA" w14:textId="77777777" w:rsidR="002B21B0" w:rsidRPr="002B21B0" w:rsidRDefault="002B21B0" w:rsidP="002B21B0">
            <w:r w:rsidRPr="002B21B0">
              <w:t>SEO title</w:t>
            </w:r>
          </w:p>
        </w:tc>
        <w:tc>
          <w:tcPr>
            <w:tcW w:w="0" w:type="auto"/>
            <w:vAlign w:val="center"/>
            <w:hideMark/>
          </w:tcPr>
          <w:p w14:paraId="79BAED59" w14:textId="77777777" w:rsidR="002B21B0" w:rsidRPr="002B21B0" w:rsidRDefault="002B21B0" w:rsidP="002B21B0">
            <w:r w:rsidRPr="002B21B0">
              <w:t>PMS &amp; AIF Investment Advisory | One Capital</w:t>
            </w:r>
          </w:p>
        </w:tc>
      </w:tr>
      <w:tr w:rsidR="002B21B0" w:rsidRPr="002B21B0" w14:paraId="745E72C9" w14:textId="77777777">
        <w:trPr>
          <w:tblCellSpacing w:w="15" w:type="dxa"/>
        </w:trPr>
        <w:tc>
          <w:tcPr>
            <w:tcW w:w="0" w:type="auto"/>
            <w:vAlign w:val="center"/>
            <w:hideMark/>
          </w:tcPr>
          <w:p w14:paraId="4472F536" w14:textId="77777777" w:rsidR="002B21B0" w:rsidRPr="002B21B0" w:rsidRDefault="002B21B0" w:rsidP="002B21B0">
            <w:r w:rsidRPr="002B21B0">
              <w:t>Meta description</w:t>
            </w:r>
          </w:p>
        </w:tc>
        <w:tc>
          <w:tcPr>
            <w:tcW w:w="0" w:type="auto"/>
            <w:vAlign w:val="center"/>
            <w:hideMark/>
          </w:tcPr>
          <w:p w14:paraId="0935E9FE" w14:textId="77777777" w:rsidR="002B21B0" w:rsidRPr="002B21B0" w:rsidRDefault="002B21B0" w:rsidP="002B21B0">
            <w:r w:rsidRPr="002B21B0">
              <w:t>Understand PMS and Alternative Investment Funds with One Capital. Explore ownership, minimum investments, risks, liquidity and suitability.</w:t>
            </w:r>
          </w:p>
        </w:tc>
      </w:tr>
      <w:tr w:rsidR="002B21B0" w:rsidRPr="002B21B0" w14:paraId="6E0D4285" w14:textId="77777777">
        <w:trPr>
          <w:tblCellSpacing w:w="15" w:type="dxa"/>
        </w:trPr>
        <w:tc>
          <w:tcPr>
            <w:tcW w:w="0" w:type="auto"/>
            <w:vAlign w:val="center"/>
            <w:hideMark/>
          </w:tcPr>
          <w:p w14:paraId="66668E17" w14:textId="77777777" w:rsidR="002B21B0" w:rsidRPr="002B21B0" w:rsidRDefault="002B21B0" w:rsidP="002B21B0">
            <w:r w:rsidRPr="002B21B0">
              <w:t>Primary keyword</w:t>
            </w:r>
          </w:p>
        </w:tc>
        <w:tc>
          <w:tcPr>
            <w:tcW w:w="0" w:type="auto"/>
            <w:vAlign w:val="center"/>
            <w:hideMark/>
          </w:tcPr>
          <w:p w14:paraId="0765F8FA" w14:textId="77777777" w:rsidR="002B21B0" w:rsidRPr="002B21B0" w:rsidRDefault="002B21B0" w:rsidP="002B21B0">
            <w:r w:rsidRPr="002B21B0">
              <w:t>PMS and AIF Investments</w:t>
            </w:r>
          </w:p>
        </w:tc>
      </w:tr>
      <w:tr w:rsidR="002B21B0" w:rsidRPr="002B21B0" w14:paraId="16C6B791" w14:textId="77777777">
        <w:trPr>
          <w:tblCellSpacing w:w="15" w:type="dxa"/>
        </w:trPr>
        <w:tc>
          <w:tcPr>
            <w:tcW w:w="0" w:type="auto"/>
            <w:vAlign w:val="center"/>
            <w:hideMark/>
          </w:tcPr>
          <w:p w14:paraId="0DBDCEE6" w14:textId="77777777" w:rsidR="002B21B0" w:rsidRPr="002B21B0" w:rsidRDefault="002B21B0" w:rsidP="002B21B0">
            <w:r w:rsidRPr="002B21B0">
              <w:t>Secondary keywords</w:t>
            </w:r>
          </w:p>
        </w:tc>
        <w:tc>
          <w:tcPr>
            <w:tcW w:w="0" w:type="auto"/>
            <w:vAlign w:val="center"/>
            <w:hideMark/>
          </w:tcPr>
          <w:p w14:paraId="45B6F44B" w14:textId="77777777" w:rsidR="002B21B0" w:rsidRPr="002B21B0" w:rsidRDefault="002B21B0" w:rsidP="002B21B0">
            <w:r w:rsidRPr="002B21B0">
              <w:t>Portfolio Management Services, Alternative Investment Funds, PMS vs AIF, PMS Investment</w:t>
            </w:r>
          </w:p>
        </w:tc>
      </w:tr>
      <w:tr w:rsidR="002B21B0" w:rsidRPr="002B21B0" w14:paraId="2A575980" w14:textId="77777777">
        <w:trPr>
          <w:tblCellSpacing w:w="15" w:type="dxa"/>
        </w:trPr>
        <w:tc>
          <w:tcPr>
            <w:tcW w:w="0" w:type="auto"/>
            <w:vAlign w:val="center"/>
            <w:hideMark/>
          </w:tcPr>
          <w:p w14:paraId="607CF2BE" w14:textId="77777777" w:rsidR="002B21B0" w:rsidRPr="002B21B0" w:rsidRDefault="002B21B0" w:rsidP="002B21B0">
            <w:r w:rsidRPr="002B21B0">
              <w:t>URL</w:t>
            </w:r>
          </w:p>
        </w:tc>
        <w:tc>
          <w:tcPr>
            <w:tcW w:w="0" w:type="auto"/>
            <w:vAlign w:val="center"/>
            <w:hideMark/>
          </w:tcPr>
          <w:p w14:paraId="34793E4A" w14:textId="77777777" w:rsidR="002B21B0" w:rsidRPr="002B21B0" w:rsidRDefault="002B21B0" w:rsidP="002B21B0">
            <w:r w:rsidRPr="002B21B0">
              <w:t>/solutions/</w:t>
            </w:r>
            <w:proofErr w:type="spellStart"/>
            <w:r w:rsidRPr="002B21B0">
              <w:t>pms-aif</w:t>
            </w:r>
            <w:proofErr w:type="spellEnd"/>
          </w:p>
        </w:tc>
      </w:tr>
    </w:tbl>
    <w:p w14:paraId="0E6D86AE" w14:textId="77777777" w:rsidR="00926859" w:rsidRDefault="00926859"/>
    <w:sectPr w:rsidR="00926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E6EB5"/>
    <w:multiLevelType w:val="multilevel"/>
    <w:tmpl w:val="D374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67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1F"/>
    <w:rsid w:val="002B21B0"/>
    <w:rsid w:val="00926859"/>
    <w:rsid w:val="00A63A8C"/>
    <w:rsid w:val="00D46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803D"/>
  <w15:chartTrackingRefBased/>
  <w15:docId w15:val="{10D4CF82-B0BA-4634-8881-CE962ADD2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1F"/>
    <w:rPr>
      <w:rFonts w:eastAsiaTheme="majorEastAsia" w:cstheme="majorBidi"/>
      <w:color w:val="272727" w:themeColor="text1" w:themeTint="D8"/>
    </w:rPr>
  </w:style>
  <w:style w:type="paragraph" w:styleId="Title">
    <w:name w:val="Title"/>
    <w:basedOn w:val="Normal"/>
    <w:next w:val="Normal"/>
    <w:link w:val="TitleChar"/>
    <w:uiPriority w:val="10"/>
    <w:qFormat/>
    <w:rsid w:val="00D46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1F"/>
    <w:pPr>
      <w:spacing w:before="160"/>
      <w:jc w:val="center"/>
    </w:pPr>
    <w:rPr>
      <w:i/>
      <w:iCs/>
      <w:color w:val="404040" w:themeColor="text1" w:themeTint="BF"/>
    </w:rPr>
  </w:style>
  <w:style w:type="character" w:customStyle="1" w:styleId="QuoteChar">
    <w:name w:val="Quote Char"/>
    <w:basedOn w:val="DefaultParagraphFont"/>
    <w:link w:val="Quote"/>
    <w:uiPriority w:val="29"/>
    <w:rsid w:val="00D4621F"/>
    <w:rPr>
      <w:i/>
      <w:iCs/>
      <w:color w:val="404040" w:themeColor="text1" w:themeTint="BF"/>
    </w:rPr>
  </w:style>
  <w:style w:type="paragraph" w:styleId="ListParagraph">
    <w:name w:val="List Paragraph"/>
    <w:basedOn w:val="Normal"/>
    <w:uiPriority w:val="34"/>
    <w:qFormat/>
    <w:rsid w:val="00D4621F"/>
    <w:pPr>
      <w:ind w:left="720"/>
      <w:contextualSpacing/>
    </w:pPr>
  </w:style>
  <w:style w:type="character" w:styleId="IntenseEmphasis">
    <w:name w:val="Intense Emphasis"/>
    <w:basedOn w:val="DefaultParagraphFont"/>
    <w:uiPriority w:val="21"/>
    <w:qFormat/>
    <w:rsid w:val="00D4621F"/>
    <w:rPr>
      <w:i/>
      <w:iCs/>
      <w:color w:val="0F4761" w:themeColor="accent1" w:themeShade="BF"/>
    </w:rPr>
  </w:style>
  <w:style w:type="paragraph" w:styleId="IntenseQuote">
    <w:name w:val="Intense Quote"/>
    <w:basedOn w:val="Normal"/>
    <w:next w:val="Normal"/>
    <w:link w:val="IntenseQuoteChar"/>
    <w:uiPriority w:val="30"/>
    <w:qFormat/>
    <w:rsid w:val="00D46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21F"/>
    <w:rPr>
      <w:i/>
      <w:iCs/>
      <w:color w:val="0F4761" w:themeColor="accent1" w:themeShade="BF"/>
    </w:rPr>
  </w:style>
  <w:style w:type="character" w:styleId="IntenseReference">
    <w:name w:val="Intense Reference"/>
    <w:basedOn w:val="DefaultParagraphFont"/>
    <w:uiPriority w:val="32"/>
    <w:qFormat/>
    <w:rsid w:val="00D46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Aroot Digital</dc:creator>
  <cp:keywords/>
  <dc:description/>
  <cp:lastModifiedBy>Aroot Digital</cp:lastModifiedBy>
  <cp:revision>2</cp:revision>
  <dcterms:created xsi:type="dcterms:W3CDTF">2026-10-25T15:54:00Z</dcterms:created>
  <dcterms:modified xsi:type="dcterms:W3CDTF">2026-10-25T15:56:00Z</dcterms:modified>
</cp:coreProperties>
</file>