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C31" w:rsidRPr="004A7C31" w:rsidRDefault="004A7C31" w:rsidP="004A7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31">
        <w:rPr>
          <w:rFonts w:ascii="Courier New" w:eastAsia="Times New Roman" w:hAnsi="Courier New" w:cs="Courier New"/>
          <w:b/>
          <w:bCs/>
          <w:sz w:val="20"/>
        </w:rPr>
        <w:t>Doc_02_WiFi_Devices_Part2.docx</w:t>
      </w:r>
    </w:p>
    <w:p w:rsidR="004A7C31" w:rsidRPr="004A7C31" w:rsidRDefault="004A7C31" w:rsidP="004A7C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Hardware Staging &amp; Setup (Policies 101–120)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Pre-Configuration Staging: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Enterprise Wi-Fi gateways undergo MAC address pre-registration before dispatch to customer premises.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PoE Power Requirements: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Power over Ethernet (PoE) access points must be powered using 802.3at or 802.3bt compliant switches.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Outdoor Unit Weatherproofing: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Outdoor rated Wi-Fi units must be installed using included weatherproof cable glands and sealants.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Antenna Positioning Standard: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Adjustable dipole antennas should be angled vertically at 90 degrees for optimal horizontal coverage.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Guest Network Isolation: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Frontline staff must instruct users that Guest Wi-Fi networks must remain isolated from primary LAN networks.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VLAN Segmentation Rules: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Managed Wi-Fi access points support up to 8 distinct VLAN tags per physical radio interface.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Static IP Configuration: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Custom static IP assignments must fall outside the default DHCP scope range to avoid IP conflicts.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Loop Detection Protocol: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Enabling Spanning Tree Protocol (STP) on mesh backhaul switches is required to prevent network loop crashes.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Maximum Client Density: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Standard residential nodes support up to 64 concurrent active client connections per band.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SSID Naming Constraints: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Network names (SSIDs) must not exceed 32 UTF-8 characters and should avoid special symbols.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WPA3 Security Mandatory Mode: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Wi-Fi 6E and Wi-Fi 7 radios must operate with WPA3-SAE encryption enabled by default.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Band Steering Logic: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Dual-band routers automatically steer capable dual-band clients to 5GHz or 6GHz bands based on signal strength.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DFS Channel Radar Notice: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Channels operating on Dynamic Frequency Selection (DFS) frequencies may take 60 seconds to initiate.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 Power Adjustments: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Transmit power should be configured to 'Auto' unless manual site survey adjustments are required.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Channel Width Selection: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160MHz and 320MHz channel widths should only be deployed in low-density wireless environments.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Beacon Interval Default: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Standard beacon intervals are fixed at 100ms unless specialized low-power IoT optimizations apply.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MU-MIMO Activation: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Multi-User MIMO feature sets must remain active across 5GHz and 6GHz bands for multi-device efficiency.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Beamforming: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Explicit Beamforming technology is enabled natively to improve directional signal to mobile clients.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DNS Redirection Safeguard: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Custom DNS entries configured on routers revert to secure ISP default DNS if upstream fails.</w:t>
      </w:r>
    </w:p>
    <w:p w:rsidR="004A7C31" w:rsidRPr="004A7C31" w:rsidRDefault="004A7C31" w:rsidP="004A7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Factory Reset Procedure: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Holding the rear recessed reset button for 10 consecutive seconds restores factory defaults.</w:t>
      </w:r>
    </w:p>
    <w:p w:rsidR="004A7C31" w:rsidRPr="004A7C31" w:rsidRDefault="004A7C31" w:rsidP="004A7C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Technical Troubleshooting (Policies 121–140)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Diagnostic LED Codes: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Solid red WAN LED indicates loss of physical link; flashing yellow indicates DHCP lease negotiation failure.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Overheating Safety Shutdown: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Hardware automatically throttles transmit power or shuts down if internal CPU heat exceeds 85°C.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Ping &amp; Latency Thresholds: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Local gateway ping times exceeding 15ms over wired connections indicate local hardware degradation.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Packet Loss SLA: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Local wired network packet loss must remain under 0.5% during normal operating network load.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Radio Interference Mitigation: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Frontline staff should suggest moving 2.4GHz routers away from active microwave ovens and cordless phones.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DHCP Scope Exhaustion: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If client devices display 169.254.x.x IP addresses, staff must expand the router DHCP address pool range.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Double NAT Elimination: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Customer modems with built-in routers must be placed in Bridge Mode when connected to new Wi-Fi routers.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MTU Size Standard: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Default WAN Maximum Transmission Unit (MTU) size is fixed at 1500 bytes for standard fiber connections.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PPPoE MTU Adjustment: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PPPoE DSL/Fiber configurations require setting the WAN MTU to 1492 bytes to avoid packet fragmentation.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Port Forwarding Security: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Opening WAN ports via port forwarding requires assigning fixed static local IPs to destination hosts.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UPnP Safety Warning: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Universal Plug and Play (UPnP) is disabled by default to mitigate potential IoT vulnerability vectors.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Remote Management Access: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Remote HTTPS administrative WAN access is disabled unless explicitly enabled with a security key.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Log Export Requirement: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Customer support troubleshooting tickets require attaching system syslog exports from the gateway.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Packet Capture Diagnostic: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Advanced B2B support engineers can execute 60-second pcap traces via cloud portal tools.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Signal Strength Target: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Client signal levels should maintain -67 dBm or stronger for seamless voice and video call roaming.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Roaming Threshold (802.11k/v):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Fast roaming kicks in when client RSSI drops below -70 dBm, pushing handover to closer nodes.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 Throttling Check: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Quality of Service (QoS) rules must be reviewed if clients report unexpected upload speed caps.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IPv6 Native Support: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Dual-stack IPv4/IPv6 operation is supported natively using DHCPv6 Prefix Delegation.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WAN Auto-Sensing: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Multi-Gig WAN/LAN ports automatically negotiate link speeds between 100Mbps, 1Gbps, 2.5Gbps, and 10Gbps.</w:t>
      </w:r>
    </w:p>
    <w:p w:rsidR="004A7C31" w:rsidRPr="004A7C31" w:rsidRDefault="004A7C31" w:rsidP="004A7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Cold Reboots: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Cold reboots require unplugging power cables for 30 full seconds before reconnecting.</w:t>
      </w:r>
    </w:p>
    <w:p w:rsidR="004A7C31" w:rsidRPr="004A7C31" w:rsidRDefault="004A7C31" w:rsidP="004A7C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Rental &amp; Subscriptions (Policies 141–160)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Rental Device Ownership: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Hardware provided on rental plans remains the exclusive property of the service provider at all times.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Non-Return Fee Assessment: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Unreturned rental hardware following account cancellation results in an automatic Unreturned Equipment Fee.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 Replacement Limits: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Rental plans cover up to 2 free functional equipment replacements per 24-month service period.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Feature Subscription: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Advanced malware blocking and URL filtering services require an active Security Subscription.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Parental Control Profiles: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System supports creating up to 16 distinct user profiles with tailored schedule blocks and content filters.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 Auto-Renewal: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Monthly add-on subscriptions automatically renew on billing cycle dates unless canceled 48 hours prior.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Rental Transfer Restrictions: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Rental hardware cannot be transferred, sold, or moved to unassigned customer account locations.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Accidental Loss Insurance: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Optional $2/month Equipment Protection covers liquid spill and physical drop damage on rental units.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Rental Tier Swap: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Customers can swap rental hardware tiers at any time; billing adjusts on the next billing statement.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Trial Period Cancellation: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Add-on software subscriptions feature a 14-day free trial; canceling within trial avoids charges.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Firmware Feature Lock: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Advanced features (e.g., VPN Server) may be locked if hardware rental account payments fall overdue.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Bulk Business Rentals: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B2B rental contracts over 20 nodes include SLA guarantees for same-day replacement dispatch.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Legacy Rental Sunsetting: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Older rental models will be replaced proactively by the company at no charge during scheduled maintenance.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 Pause Rights: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Customers can temporarily pause software subscriptions for up to 90 days during seasonal travel.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Mesh Node Rental Add-On: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Additional rental mesh satellites can be added to existing accounts for $5 per month per unit.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Self-Install Kit Delivery: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Self-installation rental kits are dispatched via standard ground courier within 2 business days of order.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Install Option: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Customers can elect professional technician deployment of rental hardware for a flat $50 charge.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Returned Rental Cleaning: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Returned rental units undergo commercial sanitization, housing replacement, and factory re-flashing.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Feature Licensing: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Premium router software add-ons are licensed per account, supporting multiple associated gateways.</w:t>
      </w:r>
    </w:p>
    <w:p w:rsidR="004A7C31" w:rsidRPr="004A7C31" w:rsidRDefault="004A7C31" w:rsidP="004A7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Rollover Status: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Upon completing a 24-month rental contract, plans continue month-to-month with free upgrade eligibility.</w:t>
      </w:r>
    </w:p>
    <w:p w:rsidR="004A7C31" w:rsidRPr="004A7C31" w:rsidRDefault="004A7C31" w:rsidP="004A7C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Security &amp; Privacy Rules (Policies 161–180)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Zero-Knowledge Password Storage: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Customer Wi-Fi passwords stored in cloud management tools are hashed using AES-256 encryption.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Telemetry Data Opt-Out: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Customers may opt out of anonymous hardware telemetry data collection through the mobile app settings.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Automatic Vulnerability Patching: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High-severity zero-day security vulnerabilities trigger emergency auto-updates regardless of settings.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Admin Panel Brute-Force Lock: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5 consecutive failed administrative login attempts lock management access for 15 minutes.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DNS-over-HTTPS (DoH):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Routers support DoH to encrypt outbound DNS queries and prevent upstream eavesdropping.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WAN Ping Response Default: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Routers are configured to ignore ICMP ping requests from public WAN interfaces by default.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Session Timeout Rules: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Inactive Web GUI management sessions automatically terminate after 10 minutes of idle time.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Secure Boot Validation: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Hardware firmware incorporates cryptographic secure boot checks to block tampered bootloaders.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IoT Network Isolation: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Dedicated IoT SSIDs automatically restrict client devices from communicating with local PC/NAS shares.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VPNSecurity Protocol Support: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Built-in VPN server functions support WireGuard and OpenVPN protocols with RSA-4096 keys.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Credential Export Warnings: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Exported router configuration files containing passwords are encrypted with user-defined keys.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MAC Address Randomization Support: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Routers support seamless connectivity for client devices utilizing randomized private MACs.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Cloud Authentication Standard: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Cloud management accounts enforce Mandatory Multi-Factor Authentication (MFA) for administrative staff.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GDPR Data Erasure Requests: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Processing an account deletion request permanently wipes historical cloud router logs within 30 days.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SPI Firewall Default: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Stateful Packet Inspection (SPI) firewalls are permanently active across all incoming WAN interfaces.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PORT Scanning Defense: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Automated PORT scanning activity detected on WAN interfaces triggers temporary source IP blocking.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Malicious Domain Blocking: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Integrated web filters cross-reference threat intelligence databases to block phishing URLs real-time.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Encrypted Management Traffic: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All communications between local hardware and cloud controllers use TLS 1.3 encryption.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Guest Isolation Strict Mode: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Guest clients are blocked from accessing physical router IP administrative interfaces (Port 80/443).</w:t>
      </w:r>
    </w:p>
    <w:p w:rsidR="004A7C31" w:rsidRPr="004A7C31" w:rsidRDefault="004A7C31" w:rsidP="004A7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Compliance Standards: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Hardware meets FCC Part 15, CE, and RoHS standards for RF emissions and environmental safety.</w:t>
      </w:r>
    </w:p>
    <w:p w:rsidR="004A7C31" w:rsidRPr="004A7C31" w:rsidRDefault="004A7C31" w:rsidP="004A7C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Environmental &amp; Compliance (Policies 181–200)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Energy Efficiency Standards: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Wi-Fi devices comply with ENERGY STAR standards, featuring automated low-power night modes.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RoHS Materials Restriction: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Hardware components are manufactured strictly without lead, mercury, cadmium, or PBB flame retardants.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Recyclable Packaging Mandate: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Packaging materials must consist of at least 80% recycled paper fibers with soy-based inks.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E-Waste Takeback Support: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Free prepaid mailer bags are provided upon request to support responsible hardware disposal.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Thermal Dissipation Design: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Passive cooling designs avoid noisy fans, relying on internal aluminum heat sinks and airflow vents.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Conflict-Free Mineral Policy: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Tantalum, tin, tungsten, and gold used in circuit boards are sourced from verified conflict-free mines.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RF Exposure Compliance: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Operating distances must maintain a minimum 20 cm (8 inches) body separation from radiating antenna arrays.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Acoustic Noise Limits: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Operating hardware noise emissions must remain below 20 dBA under peak processing operations.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Overvoltage Line Protection: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Ethernet ports feature 4KV surge isolation to protect against indirect atmospheric lightning transients.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Plastics Marking Standard: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All plastic housing parts are stamped with ISO plastic recycling codes for post-consumer sorting.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Hazardous Chemical Logging: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Safety Data Sheets (SDS) for internal battery backup cells are accessible via support portals.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WEEE Directive Compliance: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Products sold in European regions feature the crossed-out wheelie bin symbol denoting mandatory e-waste separation.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Power Adapter Efficiency: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Included AC/DC power adapters meet Level VI Department of Energy efficiency requirements.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Packaging Plastic Reduction: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Single-use plastic wraps around cables and power bricks are replaced with biodegradable paper ties.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Humidity Range: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Hardware operates reliably in non-condensing relative humidity conditions between 10% and 90%.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Vibration Resilience Testing: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Packaging and hardware pass ISTA 2A drop and shock vibration transportation testing standards.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Carbon Footprint Disclosures: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Product lifecycle carbon footprint assessment metrics are published annually in sustainability reports.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Refurbishment Quality Standard: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Factory refurbished hardware undergoes 100% full functional testing equal to new production units.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End-of-Life Notification Notice: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Customers receive 6 months advance notice before hardware reaches official End-of-Support (EoS) status.</w:t>
      </w:r>
    </w:p>
    <w:p w:rsidR="004A7C31" w:rsidRPr="004A7C31" w:rsidRDefault="004A7C31" w:rsidP="004A7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31">
        <w:rPr>
          <w:rFonts w:ascii="Times New Roman" w:eastAsia="Times New Roman" w:hAnsi="Times New Roman" w:cs="Times New Roman"/>
          <w:b/>
          <w:bCs/>
          <w:sz w:val="24"/>
          <w:szCs w:val="24"/>
        </w:rPr>
        <w:t>Global Regulatory Compliance:</w:t>
      </w:r>
      <w:r w:rsidRPr="004A7C31">
        <w:rPr>
          <w:rFonts w:ascii="Times New Roman" w:eastAsia="Times New Roman" w:hAnsi="Times New Roman" w:cs="Times New Roman"/>
          <w:sz w:val="24"/>
          <w:szCs w:val="24"/>
        </w:rPr>
        <w:t xml:space="preserve"> Devices maintain certified regional compliance marks including FCC, IC, CE, UKCA, and TELEC.</w:t>
      </w:r>
    </w:p>
    <w:p w:rsidR="00655EDD" w:rsidRDefault="00655EDD"/>
    <w:sectPr w:rsidR="00655EDD" w:rsidSect="00655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78004B"/>
    <w:multiLevelType w:val="multilevel"/>
    <w:tmpl w:val="C1BAB5D0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981B35"/>
    <w:multiLevelType w:val="multilevel"/>
    <w:tmpl w:val="E538583E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63775F"/>
    <w:multiLevelType w:val="multilevel"/>
    <w:tmpl w:val="77D80058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016C0C"/>
    <w:multiLevelType w:val="multilevel"/>
    <w:tmpl w:val="91165D0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EA4742"/>
    <w:multiLevelType w:val="multilevel"/>
    <w:tmpl w:val="FB20AD0C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4A7C31"/>
    <w:rsid w:val="004A7C31"/>
    <w:rsid w:val="00655E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EDD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4A7C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A7C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7C3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A7C3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A7C3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7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30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1918</Words>
  <Characters>10935</Characters>
  <Application>Microsoft Office Word</Application>
  <DocSecurity>0</DocSecurity>
  <Lines>91</Lines>
  <Paragraphs>25</Paragraphs>
  <ScaleCrop>false</ScaleCrop>
  <Company/>
  <LinksUpToDate>false</LinksUpToDate>
  <CharactersWithSpaces>12828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Jayesh</dc:creator>
  <cp:lastModifiedBy>Jayesh</cp:lastModifiedBy>
  <cp:revision>1</cp:revision>
  <dcterms:created xsi:type="dcterms:W3CDTF">2026-09-26T07:28:00Z</dcterms:created>
  <dcterms:modified xsi:type="dcterms:W3CDTF">2026-09-26T07:28:00Z</dcterms:modified>
</cp:coreProperties>
</file>