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12E9" w:rsidRPr="00F112E9" w:rsidRDefault="00F112E9" w:rsidP="00F11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2E9">
        <w:rPr>
          <w:rFonts w:ascii="Courier New" w:eastAsia="Times New Roman" w:hAnsi="Courier New" w:cs="Courier New"/>
          <w:b/>
          <w:bCs/>
          <w:sz w:val="20"/>
        </w:rPr>
        <w:t>Doc_10_Cross_Service_Unified.docx</w:t>
      </w:r>
    </w:p>
    <w:p w:rsidR="00F112E9" w:rsidRPr="00F112E9" w:rsidRDefault="00F112E9" w:rsidP="00F112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Quad-Play Bundling Rules (Policies 901–920)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Quad-Play Bundle Definition: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Combining Wi-Fi Broadband, Mobile eSIM, IPTV, and Fixed Voice into a single account unlocks Quad-Play status.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Unified Monthly Discount: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Quad-Play accounts receive a $20 monthly bundle discount applied automatically to consolidated statements.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Unbundling Rate Penalty: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Removing any single core service (e.g., canceling IPTV) reverts remaining active services to standalone list rates.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Single Consolidated Invoice: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Multi-service accounts receive 1 unified monthly invoice detailing charges across Wi-Fi, eSIM, and IPTV.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Primary Account Holder Authority: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Only the designated primary account owner can authorize cross-service additions, swaps, or terminations.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Shared Loyalty Points Pool: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Account billing spend across all combined services earns unified rewards points redeemable on hardware.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Cross-Service Grace Period: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A single payment failure grace period (7 days) applies universally across all bundled services simultaneously.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Unified Credit Evaluation: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Initial customer credit checks evaluate account eligibility for combined Wi-Fi, eSIM, and IPTV hardware leases.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Master Service Agreement: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Subscribing to multi-product bundles binds customers to the overarching Unified Terms of Service agreement.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VIP Priority Support Access: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Quad-Play bundled accounts enjoy automatic routing to Tier-2 VIP Support queues with reduced hold times.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Cross-Promotional Trial Offers: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Subscribing to broadband unlocks 30-day complimentary trial access to premium IPTV and travel eSIM passes.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of Bundle Ownership: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Transferring multi-service account ownership requires joint written consent from existing and new owners.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Address Change Continuity: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Relocating residential Wi-Fi broadband automatically updates service location parameters for localized IPTV channels.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Account Dashboard: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Customers manage Wi-Fi routers, mobile eSIM profiles, and IPTV STBs through a single unified mobile app.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Service Dependency Notice: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IPTV streaming quality relies on active home Wi-Fi broadband performance; separate SLAs apply.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Bundle Contract Term: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Promotional Quad-Play pricing carries a 12-month commitment period from date of bundle activation.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Early Bundle Termination: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Terminating all bundled services early triggers a consolidated Early Termination Fee equal to $15/month remaining.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Cross-Service Data Pooling: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Mobile eSIM data plans receive a 5GB monthly bonus allowance when linked to fiber broadband accounts.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Unified Security Notification: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Security breach alerts or suspicious login attempts trigger unified SMS and email security notifications.</w:t>
      </w:r>
    </w:p>
    <w:p w:rsidR="00F112E9" w:rsidRPr="00F112E9" w:rsidRDefault="00F112E9" w:rsidP="00F11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Legacy Bundle Sunset Rights: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The company reserves rights to update legacy bundle package structures with 60 days written customer notice.</w:t>
      </w:r>
    </w:p>
    <w:p w:rsidR="00F112E9" w:rsidRPr="00F112E9" w:rsidRDefault="00F112E9" w:rsidP="00F112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Account Security &amp; Data Privacy (Policies 921–940)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Single Sign-On (SSO) Standard: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 portal authentication utilizes secure Single Sign-On (SSO) credentials across all platform tools.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2FA Enrollment: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Modifying high-security account settings (e.g., SIM swaps, payment method updates) requires 2-Factor Authentication.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Cross-Service Log Retention: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System diagnostic logs are retained securely for 90 days before automated anonymized data archiving.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Unified Privacy Policy: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 personal data handling across Wi-Fi, mobile eSIM, and IPTV services adheres strictly to GDPR and CCPA.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Data Erasure (Right to Be Forgotten):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Account termination data erasure requests wipe personal identity records across all product databases within 30 days.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Data Sale Prohibition: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 viewing habits, mobile location logs, and web browsing trends are never sold to third parties.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Biometric Data Protection: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Biometric FaceID/TouchID mobile app authentication data remains stored locally on client hardware only.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Lawful Subpoena Compliance: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 record disclosures to legal authorities execute strictly upon receipt of valid judicial court orders.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Encrypted Identity Verification: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Uploaded identity documentation images submitted during eSIM or hardware KYC undergo AES-256 encryption.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Unified Account Audit Trails: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Frontline staff interaction logs and customer record updates generate immutable timestamped system audit entries.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Policy Complexity: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Account passwords require a minimum of 10 characters, including uppercase, lowercase, numerical, and special symbols.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Session Hijacking Defense: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Active browser sessions automatically invalidate upon detecting IP address changes or 15 minutes of idle time.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Unauthorized Employee Access: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 support representatives access account profile details strictly on a need-to-know ticket resolution basis.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Child Online Privacy (COPPA):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Profiles created for minors enforce strict content filtering and block targeted behavioral tracking.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Cross-Product Threat Intelligence: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Network security flags detected on Wi-Fi gateways automatically restrict associated mobile app access.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Opt-Out Granularity: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Customers can individually manage marketing notification preferences for Wi-Fi, eSIM, and IPTV promotional offers.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Data Breach SLA: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In the event of a verified database security breach, affected account holders are notified within 72 hours under legal standards.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Information Tokenization: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Credit card account numbers are tokenized via payment gateways and are never visible in full to support staff.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Encrypted API Data Transit: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All data transmissions between customer mobile applications and cloud platform APIs enforce TLS 1.3 encryption.</w:t>
      </w:r>
    </w:p>
    <w:p w:rsidR="00F112E9" w:rsidRPr="00F112E9" w:rsidRDefault="00F112E9" w:rsidP="00F11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Compliance Certification: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Operations maintain ISO 27001, SOC 2 Type II, and PCI-DSS Level 1 security compliance certifications.</w:t>
      </w:r>
    </w:p>
    <w:p w:rsidR="00F112E9" w:rsidRPr="00F112E9" w:rsidRDefault="00F112E9" w:rsidP="00F112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Billing Disputes &amp; Collections (Policies 941–960)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Dispute Filing Window: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Customers must formally lodge billing charge disputes within 60 days of invoice statement generation dates.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Disputed Balance Hold: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Amount portions undergoing formal dispute investigation are paused from late fee assessments during reviews.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Undisputed Portion Payment: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Customers must settle all undisputed invoice balance portions by due dates to prevent partial service suspension.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Investigation SLA: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 billing dispute investigations complete within 10 business days following ticket creation.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Adjustment Application: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Approved dispute adjustments issue as direct invoice credits or original payment card refunds within 3 days.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 Agency Escalation: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Unpaid account balances exceeding 90 days past due transfer automatically to third-party collections agencies.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 Administrative Fee: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Accounts transferred to external collection agencies incur an additional $30 administrative processing fee.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Service Reinstatement Post-Pay: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Restoring services suspended due to collections requires clearing total outstanding balances plus fees.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Bad Debt Blacklisting: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Customers with unresolved written-off bad debt balances are barred from opening new service accounts.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System Billing Error Correction: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Identified system-wide billing calculation errors auto-correct across all affected accounts within 48 hours.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Goodwill Credit Cap: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Frontline customer support representatives hold authorization to issue one-time goodwill credits up to $25 per year.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Supervisor Credit Approval: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Account billing credit adjustments ranging between $25 and $150 require Customer Support Supervisor approval.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Billing Review: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Billing adjustments exceeding $150 require formal review and approval from the Finance Operations Director.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Overpayment Credit Rollover: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Unintentional overpayments auto-apply as credit balances reducing the subsequent month's invoice total.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Itemized Usage Proof: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Disputed usage charges (e.g., international roaming, PPV orders) provide detailed time-stamped server log proof.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Bank Chargeback Notification: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Customers initiating bank card chargebacks receive automated account freeze notices pending dispute resolution.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Payment Plan Arrangements: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Customers experiencing financial hardship can request structured 3-month payment plans to clear past-due balances.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Paper Itemization Request: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Historical line-item billing statements older than 12 months can be requested as PDF archives for a $5 fee.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Tax Exemption Certificate: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Commercial B2B entities qualifying for tax exemption must submit valid state tax exemption certificates.</w:t>
      </w:r>
    </w:p>
    <w:p w:rsidR="00F112E9" w:rsidRPr="00F112E9" w:rsidRDefault="00F112E9" w:rsidP="00F11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Finality of Settlement: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Executing a formal written billing dispute settlement waives rights to future claims regarding the specified invoice.</w:t>
      </w:r>
    </w:p>
    <w:p w:rsidR="00F112E9" w:rsidRPr="00F112E9" w:rsidRDefault="00F112E9" w:rsidP="00F112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Service Level Agreements (SLAs) (Policies 961–980)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Core Network Uptime SLA: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The provider targets a 99.9% overall core network uptime SLA across broadband, IPTV, and mobile core infrastructure.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Maintenance Notice: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Planned major network maintenance operations trigger advance customer email notices at least 48 hours prior.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Unplanned Outage Credit: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Unplanned network outages exceeding 8 continuous hours qualify affected customers for 1-day pro-rata bill credits.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Outage Credit Request Window: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Customers must request outage SLA credits through the support portal within 30 days of the incident event.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Support Ticket Response SLA: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High-priority support tickets receive an initial technical agent response within 15 minutes of submission.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On-Site Tech Dispatch SLA: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Critical hardware failure technician dispatches are scheduled within a 24-hour window in covered metro zones.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Replacement Dispatch: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Defective replacement routers, eSIM QR tokens, or IPTV STBs dispatch within 1 business day of approval.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Speed SLA (Wi-Fi Broadband):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Wired Ethernet speed tests must deliver at least 80% of advertised subscription plan bandwidth rates.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Latency SLA: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Local network packet latency targets under 20ms to primary core gateway routers during standard operating conditions.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Packet Loss SLA: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Core network packet loss must remain below 0.1% for optimal voice, video streaming, and gaming performance.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Force Majeure Outage Scope: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SLA credits do not apply to outages caused by severe natural disasters, fiber cuts by third parties, or war.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Equipment Exclusions: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Outages caused by faulty customer-owned third-party hardware fall strictly outside provider SLA credits.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IPTV Video Quality SLA: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Live IPTV streams must maintain minimum 720p HD resolution without continuous buffering under normal links.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eSIM Provisioning SLA: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Over-the-air eSIM profile generation and delivery complete within 5 minutes of order payment authorization.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Mobile Data Speed Disclaimer: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Mobile cellular data throughput depends on local cell tower proximity, user density, and physical terrain.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Ticket Escalation Hierarchy: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Unresolved support tickets automatically escalate to Tier-2 Engineering if open longer than 24 hours.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SLA Credit Monthly Cap: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Maximum combined SLA outage credits issued within a single calendar month cannot exceed 50% of the monthly bill.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Custom SLAs: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Commercial B2B accounts carry dedicated SLA contracts featuring custom resolution speed timelines and credits.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System Status Portal: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Real-time network operational status and regional incident updates are published publicly on status web pages.</w:t>
      </w:r>
    </w:p>
    <w:p w:rsidR="00F112E9" w:rsidRPr="00F112E9" w:rsidRDefault="00F112E9" w:rsidP="00F11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Monitoring Consent: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Customers agree to automated diagnostic pings from core servers to evaluate connection quality standards.</w:t>
      </w:r>
    </w:p>
    <w:p w:rsidR="00F112E9" w:rsidRPr="00F112E9" w:rsidRDefault="00F112E9" w:rsidP="00F112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General Regulatory &amp; Legal Terms (Policies 981–1000)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Entire Agreement Clause: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These unified policies constitute the entire binding legal agreement between the customer and service provider.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Severability Rule: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If any individual policy clause is found legally unenforceable, remaining terms continue in full legal force and effect.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Policy Modification Rights: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The company reserves rights to update operational terms by posting revisions 30 days prior to enforcement.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Governing Law Jurisdiction: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All service agreements are governed under the local commercial laws of the primary operating corporate headquarters.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Arbitration Agreement: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Legal disputes arising from service contracts are resolved via binding individual arbitration rather than court lawsuits.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Class Action Waiver: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Customers explicitly waive rights to participate in class-action lawsuits or class-wide arbitration proceedings.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Notice Delivery Standard: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Official legal notices to customers are delivered via primary account email or registered postal mailing address.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Restrictions: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Customers cannot assign or transfer service account obligations to third parties without prior written consent.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No Waiver Rule: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Failure to enforce any specific policy right in a given instance does not waive future rights to enforce that rule.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Services (E911) Notice: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Fixed Voice and VoIP services require accurate location records to ensure proper E911 emergency routing.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Fair Usage Anti-Abuse Rule: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Services must not be utilized for illegal spamming, network attacks, or unauthorized commercial resale.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Intellectual Property Protection: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All firmware software, brand logos, and UI designs remain exclusive corporate intellectual property.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Content Rights: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Broadcaster channel content and VOD movies are protected under international copyright law standards.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Export Control Compliance: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Hardware, encryption software, and technology exports must satisfy national export control laws.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Interpretation: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In the event of localized policy translation ambiguities, the official English language version governs.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Survival of Terms: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Provisions covering indemnification, intellectual property, and unpaid balance collections survive contract termination.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Surcharge Adjustments: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Government-mandated telecom regulatory fee updates pass through to customer invoices automatically.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Trade Name Licensing: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Product names (e.g., Wi-Fi, eSIM, IPTV) are trademarks or registered trademarks of their respective global bodies.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Support Recording: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Customer phone conversations with support representatives are recorded for quality assurance and training.</w:t>
      </w:r>
    </w:p>
    <w:p w:rsidR="00F112E9" w:rsidRPr="00F112E9" w:rsidRDefault="00F112E9" w:rsidP="00F11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2E9">
        <w:rPr>
          <w:rFonts w:ascii="Times New Roman" w:eastAsia="Times New Roman" w:hAnsi="Times New Roman" w:cs="Times New Roman"/>
          <w:b/>
          <w:bCs/>
          <w:sz w:val="24"/>
          <w:szCs w:val="24"/>
        </w:rPr>
        <w:t>Final Acceptance:</w:t>
      </w:r>
      <w:r w:rsidRPr="00F112E9">
        <w:rPr>
          <w:rFonts w:ascii="Times New Roman" w:eastAsia="Times New Roman" w:hAnsi="Times New Roman" w:cs="Times New Roman"/>
          <w:sz w:val="24"/>
          <w:szCs w:val="24"/>
        </w:rPr>
        <w:t xml:space="preserve"> Completing order placement or using services confirms complete legal agreement to all 1,000 corporate policies.</w:t>
      </w:r>
    </w:p>
    <w:p w:rsidR="00655EDD" w:rsidRDefault="00655EDD"/>
    <w:sectPr w:rsidR="00655EDD" w:rsidSect="00655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F223CB"/>
    <w:multiLevelType w:val="multilevel"/>
    <w:tmpl w:val="C0282E7A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1616DB"/>
    <w:multiLevelType w:val="multilevel"/>
    <w:tmpl w:val="03EE02F2"/>
    <w:lvl w:ilvl="0">
      <w:start w:val="9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CA7D2F"/>
    <w:multiLevelType w:val="multilevel"/>
    <w:tmpl w:val="7D22E910"/>
    <w:lvl w:ilvl="0">
      <w:start w:val="9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1E689E"/>
    <w:multiLevelType w:val="multilevel"/>
    <w:tmpl w:val="A4AA9230"/>
    <w:lvl w:ilvl="0">
      <w:start w:val="9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F15A45"/>
    <w:multiLevelType w:val="multilevel"/>
    <w:tmpl w:val="86CE3706"/>
    <w:lvl w:ilvl="0">
      <w:start w:val="9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F112E9"/>
    <w:rsid w:val="00655EDD"/>
    <w:rsid w:val="00F112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EDD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F112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112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12E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112E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12E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1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06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2086</Words>
  <Characters>11894</Characters>
  <Application>Microsoft Office Word</Application>
  <DocSecurity>0</DocSecurity>
  <Lines>99</Lines>
  <Paragraphs>27</Paragraphs>
  <ScaleCrop>false</ScaleCrop>
  <Company/>
  <LinksUpToDate>false</LinksUpToDate>
  <CharactersWithSpaces>13953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Jayesh</dc:creator>
  <cp:lastModifiedBy>Jayesh</cp:lastModifiedBy>
  <cp:revision>1</cp:revision>
  <dcterms:created xsi:type="dcterms:W3CDTF">2026-09-26T07:30:00Z</dcterms:created>
  <dcterms:modified xsi:type="dcterms:W3CDTF">2026-09-26T07:30:00Z</dcterms:modified>
</cp:coreProperties>
</file>