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3.svg" ContentType="image/svg+xml"/>
  <Override PartName="/word/media/image5.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C3109">
      <w:pPr>
        <w:spacing w:before="0" w:after="0" w:line="464" w:lineRule="exact"/>
      </w:pPr>
    </w:p>
    <w:p w14:paraId="44FD22DD">
      <w:pPr>
        <w:spacing w:before="0" w:after="0" w:line="595" w:lineRule="exact"/>
        <w:ind w:left="1596"/>
      </w:pPr>
      <w:r>
        <w:rPr>
          <w:rFonts w:ascii="微软雅黑" w:hAnsi="微软雅黑" w:eastAsia="微软雅黑" w:cs="微软雅黑"/>
          <w:b/>
          <w:color w:val="545454"/>
          <w:sz w:val="50"/>
        </w:rPr>
        <w:t>罗卓聪</w:t>
      </w:r>
    </w:p>
    <w:p w14:paraId="6C60B1EC">
      <w:pPr>
        <w:spacing w:before="0" w:after="0" w:line="232" w:lineRule="exact"/>
      </w:pPr>
    </w:p>
    <w:p w14:paraId="2546CD8A">
      <w:pPr>
        <w:tabs>
          <w:tab w:val="left" w:pos="4340"/>
        </w:tabs>
        <w:wordWrap w:val="0"/>
        <w:spacing w:before="0" w:after="0" w:line="333"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15322784428</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5080"/>
            <wp:docPr id="2" name="Drawing 2"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con.pn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邮箱：</w:t>
      </w:r>
      <w:r>
        <w:rPr>
          <w:rFonts w:ascii="微软雅黑" w:hAnsi="微软雅黑" w:eastAsia="微软雅黑" w:cs="微软雅黑"/>
          <w:color w:val="555555"/>
          <w:sz w:val="20"/>
        </w:rPr>
        <w:t>2981068116@qq.com</w:t>
      </w:r>
    </w:p>
    <w:p w14:paraId="47FCD822">
      <w:pPr>
        <w:wordWrap w:val="0"/>
        <w:spacing w:before="0" w:after="0" w:line="333"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3" name="Drawing 3"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con.pn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毕业时间：</w:t>
      </w:r>
      <w:r>
        <w:rPr>
          <w:rFonts w:ascii="微软雅黑" w:hAnsi="微软雅黑" w:eastAsia="微软雅黑" w:cs="微软雅黑"/>
          <w:color w:val="555555"/>
          <w:sz w:val="20"/>
        </w:rPr>
        <w:t>2027.07</w:t>
      </w:r>
      <w:r>
        <w:drawing>
          <wp:anchor distT="0" distB="0" distL="114300" distR="114300" simplePos="0" relativeHeight="251659264" behindDoc="0" locked="0" layoutInCell="1" allowOverlap="1">
            <wp:simplePos x="0" y="0"/>
            <wp:positionH relativeFrom="column">
              <wp:posOffset>0</wp:posOffset>
            </wp:positionH>
            <wp:positionV relativeFrom="page">
              <wp:posOffset>737235</wp:posOffset>
            </wp:positionV>
            <wp:extent cx="737235" cy="1154430"/>
            <wp:effectExtent l="0" t="0" r="0" b="0"/>
            <wp:wrapNone/>
            <wp:docPr id="4"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jpg"/>
                    <pic:cNvPicPr>
                      <a:picLocks noChangeAspect="1"/>
                    </pic:cNvPicPr>
                  </pic:nvPicPr>
                  <pic:blipFill>
                    <a:blip r:embed="rId12"/>
                    <a:stretch>
                      <a:fillRect/>
                    </a:stretch>
                  </pic:blipFill>
                  <pic:spPr>
                    <a:xfrm>
                      <a:off x="0" y="0"/>
                      <a:ext cx="737468" cy="1154117"/>
                    </a:xfrm>
                    <a:prstGeom prst="rect">
                      <a:avLst/>
                    </a:prstGeom>
                  </pic:spPr>
                </pic:pic>
              </a:graphicData>
            </a:graphic>
          </wp:anchor>
        </w:drawing>
      </w:r>
    </w:p>
    <w:p w14:paraId="6EA7C0A4">
      <w:pPr>
        <w:spacing w:before="0" w:after="0" w:line="43" w:lineRule="exact"/>
      </w:pPr>
    </w:p>
    <w:p w14:paraId="7A68405D">
      <w:pPr>
        <w:spacing w:before="0" w:after="0" w:line="725" w:lineRule="exact"/>
      </w:pPr>
    </w:p>
    <w:p w14:paraId="226A9F86">
      <w:pPr>
        <w:spacing w:before="0" w:after="0" w:line="75" w:lineRule="exact"/>
        <w:jc w:val="left"/>
      </w:pPr>
    </w:p>
    <w:p w14:paraId="13681611">
      <w:pPr>
        <w:spacing w:before="0" w:after="0" w:line="464" w:lineRule="exact"/>
        <w:ind w:left="566"/>
        <w:textAlignment w:val="center"/>
        <w:rPr>
          <w:sz w:val="21"/>
        </w:rPr>
      </w:pPr>
      <w:r>
        <w:rPr>
          <w:rFonts w:ascii="微软雅黑" w:hAnsi="微软雅黑" w:eastAsia="微软雅黑" w:cs="微软雅黑"/>
          <w:b/>
          <w:color w:val="2C2C2C"/>
          <w:sz w:val="26"/>
        </w:rPr>
        <w:t>教育经历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5"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教育经历.svg"/>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94987" cy="294987"/>
                    </a:xfrm>
                    <a:prstGeom prst="rect">
                      <a:avLst/>
                    </a:prstGeom>
                  </pic:spPr>
                </pic:pic>
              </a:graphicData>
            </a:graphic>
          </wp:anchor>
        </w:drawing>
      </w:r>
    </w:p>
    <w:p w14:paraId="08950CCC">
      <w:pPr>
        <w:spacing w:before="0" w:after="0" w:line="14" w:lineRule="exact"/>
        <w:rPr>
          <w:sz w:val="21"/>
        </w:rPr>
      </w:pPr>
    </w:p>
    <w:p w14:paraId="37AB3D99">
      <w:pPr>
        <w:spacing w:before="0" w:after="0" w:line="87" w:lineRule="exact"/>
        <w:rPr>
          <w:rFonts w:hint="eastAsia" w:eastAsiaTheme="minorEastAsia"/>
          <w:sz w:val="21"/>
          <w:lang w:val="en-US" w:eastAsia="zh-CN"/>
        </w:rPr>
      </w:pPr>
    </w:p>
    <w:p w14:paraId="15905450">
      <w:pPr>
        <w:tabs>
          <w:tab w:val="right" w:pos="10440"/>
        </w:tabs>
        <w:spacing w:before="0" w:after="0" w:line="348" w:lineRule="exact"/>
        <w:ind w:left="60"/>
        <w:jc w:val="left"/>
        <w:textAlignment w:val="center"/>
      </w:pPr>
      <w:r>
        <w:rPr>
          <w:rFonts w:ascii="微软雅黑" w:hAnsi="微软雅黑" w:eastAsia="微软雅黑" w:cs="微软雅黑"/>
          <w:b/>
          <w:color w:val="2C2C2C"/>
          <w:sz w:val="22"/>
        </w:rPr>
        <w:t>广东技术师范大学</w:t>
      </w:r>
      <w:r>
        <w:rPr>
          <w:rFonts w:ascii="微软雅黑" w:hAnsi="微软雅黑" w:eastAsia="微软雅黑" w:cs="微软雅黑"/>
          <w:color w:val="525252"/>
          <w:sz w:val="22"/>
        </w:rPr>
        <w:t xml:space="preserve"> | 车辆工程 | 本科</w:t>
      </w:r>
      <w:r>
        <w:rPr>
          <w:rFonts w:ascii="微软雅黑" w:hAnsi="微软雅黑" w:eastAsia="微软雅黑" w:cs="微软雅黑"/>
          <w:color w:val="525252"/>
          <w:sz w:val="22"/>
        </w:rPr>
        <w:tab/>
      </w:r>
      <w:r>
        <w:rPr>
          <w:rFonts w:ascii="微软雅黑" w:hAnsi="微软雅黑" w:eastAsia="微软雅黑" w:cs="微软雅黑"/>
          <w:color w:val="666666"/>
          <w:sz w:val="22"/>
        </w:rPr>
        <w:t>2023.9-2027.7</w:t>
      </w:r>
    </w:p>
    <w:p w14:paraId="4EFC4E7D">
      <w:pPr>
        <w:spacing w:before="0" w:after="0" w:line="40" w:lineRule="exact"/>
        <w:jc w:val="left"/>
      </w:pPr>
    </w:p>
    <w:p w14:paraId="6AE5EC3C">
      <w:pPr>
        <w:spacing w:before="0" w:after="0" w:line="333" w:lineRule="exact"/>
        <w:ind w:left="60" w:right="60"/>
        <w:textAlignment w:val="center"/>
      </w:pPr>
      <w:r>
        <w:rPr>
          <w:rFonts w:ascii="微软雅黑" w:hAnsi="微软雅黑" w:eastAsia="微软雅黑" w:cs="微软雅黑"/>
          <w:color w:val="666666"/>
          <w:sz w:val="20"/>
        </w:rPr>
        <w:t>主修课程：汽车构造、工程力学、汽车设计、汽车安全</w:t>
      </w:r>
    </w:p>
    <w:p w14:paraId="142781F5">
      <w:pPr>
        <w:spacing w:before="0" w:after="0" w:line="333" w:lineRule="exact"/>
        <w:ind w:left="60" w:right="60"/>
        <w:textAlignment w:val="center"/>
      </w:pPr>
      <w:r>
        <w:rPr>
          <w:rFonts w:ascii="微软雅黑" w:hAnsi="微软雅黑" w:eastAsia="微软雅黑" w:cs="微软雅黑"/>
          <w:color w:val="666666"/>
          <w:sz w:val="20"/>
        </w:rPr>
        <w:t>学习情况：绩点专业排名前5%,CET4、CET6</w:t>
      </w:r>
      <w:bookmarkStart w:id="0" w:name="_GoBack"/>
      <w:bookmarkEnd w:id="0"/>
    </w:p>
    <w:p w14:paraId="6BE06AD8">
      <w:pPr>
        <w:spacing w:before="0" w:after="0" w:line="150" w:lineRule="exact"/>
        <w:jc w:val="left"/>
      </w:pPr>
    </w:p>
    <w:p w14:paraId="7F9057E7">
      <w:pPr>
        <w:spacing w:before="0" w:after="0" w:line="464" w:lineRule="exact"/>
        <w:ind w:left="566"/>
        <w:textAlignment w:val="center"/>
        <w:rPr>
          <w:sz w:val="21"/>
        </w:rPr>
      </w:pPr>
      <w:r>
        <w:rPr>
          <w:rFonts w:ascii="微软雅黑" w:hAnsi="微软雅黑" w:eastAsia="微软雅黑" w:cs="微软雅黑"/>
          <w:b/>
          <w:color w:val="2C2C2C"/>
          <w:sz w:val="26"/>
        </w:rPr>
        <w:t>项目经历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6"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项目经历.svg"/>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94987" cy="294987"/>
                    </a:xfrm>
                    <a:prstGeom prst="rect">
                      <a:avLst/>
                    </a:prstGeom>
                  </pic:spPr>
                </pic:pic>
              </a:graphicData>
            </a:graphic>
          </wp:anchor>
        </w:drawing>
      </w:r>
    </w:p>
    <w:p w14:paraId="59E587B8">
      <w:pPr>
        <w:spacing w:before="0" w:after="0" w:line="14" w:lineRule="exact"/>
        <w:rPr>
          <w:sz w:val="21"/>
        </w:rPr>
      </w:pPr>
    </w:p>
    <w:p w14:paraId="7B9D5A6D">
      <w:pPr>
        <w:spacing w:before="0" w:after="0" w:line="87" w:lineRule="exact"/>
        <w:rPr>
          <w:rFonts w:hint="eastAsia" w:eastAsiaTheme="minorEastAsia"/>
          <w:sz w:val="21"/>
          <w:lang w:val="en-US" w:eastAsia="zh-CN"/>
        </w:rPr>
      </w:pPr>
    </w:p>
    <w:p w14:paraId="0F0B1006">
      <w:pPr>
        <w:tabs>
          <w:tab w:val="right" w:pos="10440"/>
        </w:tabs>
      </w:pPr>
      <w:r>
        <w:rPr>
          <w:rFonts w:ascii="微软雅黑" w:hAnsi="微软雅黑" w:eastAsia="微软雅黑" w:cs="微软雅黑"/>
          <w:b/>
          <w:color w:val="2C2C2C"/>
          <w:sz w:val="22"/>
        </w:rPr>
        <w:t>轮胎-颗粒土壤相互作用仿真</w:t>
      </w:r>
      <w:r>
        <w:rPr>
          <w:rFonts w:ascii="微软雅黑" w:hAnsi="微软雅黑" w:eastAsia="微软雅黑" w:cs="微软雅黑"/>
          <w:b/>
          <w:color w:val="2C2C2C"/>
          <w:sz w:val="22"/>
        </w:rPr>
        <w:tab/>
      </w:r>
      <w:r>
        <w:rPr>
          <w:rFonts w:ascii="微软雅黑" w:hAnsi="微软雅黑" w:eastAsia="微软雅黑" w:cs="微软雅黑"/>
          <w:color w:val="666666"/>
          <w:sz w:val="22"/>
        </w:rPr>
        <w:t>2026.07-2026.09</w:t>
      </w:r>
    </w:p>
    <w:p w14:paraId="2AF79526">
      <w:pPr>
        <w:spacing w:before="0" w:after="0" w:line="40" w:lineRule="exact"/>
        <w:jc w:val="left"/>
      </w:pPr>
    </w:p>
    <w:p w14:paraId="6225549B">
      <w:pPr>
        <w:spacing w:before="0" w:after="0" w:line="333" w:lineRule="exact"/>
        <w:ind w:left="60" w:right="60"/>
        <w:textAlignment w:val="center"/>
      </w:pPr>
      <w:r>
        <w:rPr>
          <w:rFonts w:ascii="微软雅黑" w:hAnsi="微软雅黑" w:eastAsia="微软雅黑" w:cs="微软雅黑"/>
          <w:b/>
          <w:color w:val="666666"/>
          <w:sz w:val="20"/>
        </w:rPr>
        <w:t>项目介绍：</w:t>
      </w:r>
      <w:r>
        <w:rPr>
          <w:rFonts w:ascii="微软雅黑" w:hAnsi="微软雅黑" w:eastAsia="微软雅黑" w:cs="微软雅黑"/>
          <w:color w:val="666666"/>
          <w:sz w:val="20"/>
        </w:rPr>
        <w:t xml:space="preserve"> 面向车辆在砂石、颗粒土壤等非铺装路面上的行驶问题，基于 ANSYS Rocky DEM 建立刚性轮胎与颗粒土壤相互作用模型，模拟轮胎在颗粒介质中的行驶过程，重点关注轮胎下陷及土体变形等响应。目前已完成基础模型搭建及相关参数设置，后续进一步研究不同工况参数对轮胎行驶性能及颗粒土壤破坏特征的影响。</w:t>
      </w:r>
    </w:p>
    <w:p w14:paraId="24DBE8FD">
      <w:pPr>
        <w:spacing w:before="0" w:after="0" w:line="333" w:lineRule="exact"/>
        <w:ind w:left="60" w:right="60"/>
        <w:textAlignment w:val="center"/>
      </w:pPr>
      <w:r>
        <w:rPr>
          <w:rFonts w:ascii="微软雅黑" w:hAnsi="微软雅黑" w:eastAsia="微软雅黑" w:cs="微软雅黑"/>
          <w:b/>
          <w:color w:val="666666"/>
          <w:sz w:val="20"/>
        </w:rPr>
        <w:t>技术栈：</w:t>
      </w:r>
      <w:r>
        <w:rPr>
          <w:rFonts w:ascii="微软雅黑" w:hAnsi="微软雅黑" w:eastAsia="微软雅黑" w:cs="微软雅黑"/>
          <w:color w:val="666666"/>
          <w:sz w:val="20"/>
        </w:rPr>
        <w:t xml:space="preserve"> ANSYS Rocky DEM、离散元法（DEM）、颗粒介质仿真、工程数据分析</w:t>
      </w:r>
    </w:p>
    <w:p w14:paraId="3819CE0B">
      <w:pPr>
        <w:spacing w:before="0" w:after="0" w:line="333" w:lineRule="exact"/>
        <w:ind w:left="60" w:right="60"/>
        <w:textAlignment w:val="center"/>
      </w:pPr>
      <w:r>
        <w:rPr>
          <w:rFonts w:ascii="微软雅黑" w:hAnsi="微软雅黑" w:eastAsia="微软雅黑" w:cs="微软雅黑"/>
          <w:b/>
          <w:color w:val="666666"/>
          <w:sz w:val="20"/>
        </w:rPr>
        <w:t>项目亮点：</w:t>
      </w:r>
    </w:p>
    <w:p w14:paraId="73E01FE3">
      <w:pPr>
        <w:spacing w:before="0" w:after="0" w:line="333" w:lineRule="exact"/>
        <w:ind w:left="60" w:right="60"/>
        <w:textAlignment w:val="center"/>
      </w:pPr>
      <w:r>
        <w:rPr>
          <w:rFonts w:ascii="微软雅黑" w:hAnsi="微软雅黑" w:eastAsia="微软雅黑" w:cs="微软雅黑"/>
          <w:b/>
          <w:color w:val="666666"/>
          <w:sz w:val="20"/>
        </w:rPr>
        <w:t>· 模型建立：</w:t>
      </w:r>
      <w:r>
        <w:rPr>
          <w:rFonts w:ascii="微软雅黑" w:hAnsi="微软雅黑" w:eastAsia="微软雅黑" w:cs="微软雅黑"/>
          <w:color w:val="666666"/>
          <w:sz w:val="20"/>
        </w:rPr>
        <w:t xml:space="preserve"> 建立刚性轮胎与颗粒土壤离散元模型，完成轮胎模型导入、颗粒区域建立及材料、接触等相关参数设置。</w:t>
      </w:r>
    </w:p>
    <w:p w14:paraId="2449F642">
      <w:pPr>
        <w:spacing w:before="0" w:after="0" w:line="333" w:lineRule="exact"/>
        <w:ind w:left="60" w:right="60"/>
        <w:textAlignment w:val="center"/>
      </w:pPr>
      <w:r>
        <w:rPr>
          <w:rFonts w:ascii="微软雅黑" w:hAnsi="微软雅黑" w:eastAsia="微软雅黑" w:cs="微软雅黑"/>
          <w:color w:val="666666"/>
          <w:sz w:val="20"/>
        </w:rPr>
        <w:t xml:space="preserve">· </w:t>
      </w:r>
      <w:r>
        <w:rPr>
          <w:rFonts w:ascii="微软雅黑" w:hAnsi="微软雅黑" w:eastAsia="微软雅黑" w:cs="微软雅黑"/>
          <w:b/>
          <w:color w:val="666666"/>
          <w:sz w:val="20"/>
        </w:rPr>
        <w:t>运动模拟：</w:t>
      </w:r>
      <w:r>
        <w:rPr>
          <w:rFonts w:ascii="微软雅黑" w:hAnsi="微软雅黑" w:eastAsia="微软雅黑" w:cs="微软雅黑"/>
          <w:color w:val="666666"/>
          <w:sz w:val="20"/>
        </w:rPr>
        <w:t xml:space="preserve"> 设置轮胎质量、运动及仿真参数，模拟轮胎在颗粒土壤路面上的行驶过程，观察轮胎与颗粒介质的相互作用。</w:t>
      </w:r>
    </w:p>
    <w:p w14:paraId="08360831">
      <w:pPr>
        <w:spacing w:before="0" w:after="0" w:line="333" w:lineRule="exact"/>
        <w:ind w:left="60" w:right="60"/>
        <w:textAlignment w:val="center"/>
      </w:pPr>
      <w:r>
        <w:rPr>
          <w:rFonts w:ascii="微软雅黑" w:hAnsi="微软雅黑" w:eastAsia="微软雅黑" w:cs="微软雅黑"/>
          <w:color w:val="666666"/>
          <w:sz w:val="20"/>
        </w:rPr>
        <w:t xml:space="preserve">· </w:t>
      </w:r>
      <w:r>
        <w:rPr>
          <w:rFonts w:ascii="微软雅黑" w:hAnsi="微软雅黑" w:eastAsia="微软雅黑" w:cs="微软雅黑"/>
          <w:b/>
          <w:color w:val="666666"/>
          <w:sz w:val="20"/>
        </w:rPr>
        <w:t>结果分析：</w:t>
      </w:r>
      <w:r>
        <w:rPr>
          <w:rFonts w:ascii="微软雅黑" w:hAnsi="微软雅黑" w:eastAsia="微软雅黑" w:cs="微软雅黑"/>
          <w:color w:val="666666"/>
          <w:sz w:val="20"/>
        </w:rPr>
        <w:t xml:space="preserve"> 以轮胎下陷量等响应作为主要观察指标，通过轮胎运动及轮心位置变化分析轮胎下陷特征，为后续牵引力等行驶性能研究提供基础。</w:t>
      </w:r>
    </w:p>
    <w:p w14:paraId="226E0A76">
      <w:pPr>
        <w:spacing w:before="0" w:after="0" w:line="333" w:lineRule="exact"/>
        <w:ind w:left="60" w:right="60"/>
        <w:textAlignment w:val="center"/>
      </w:pPr>
      <w:r>
        <w:rPr>
          <w:rFonts w:ascii="微软雅黑" w:hAnsi="微软雅黑" w:eastAsia="微软雅黑" w:cs="微软雅黑"/>
          <w:color w:val="666666"/>
          <w:sz w:val="20"/>
        </w:rPr>
        <w:t xml:space="preserve">· </w:t>
      </w:r>
      <w:r>
        <w:rPr>
          <w:rFonts w:ascii="微软雅黑" w:hAnsi="微软雅黑" w:eastAsia="微软雅黑" w:cs="微软雅黑"/>
          <w:b/>
          <w:color w:val="666666"/>
          <w:sz w:val="20"/>
        </w:rPr>
        <w:t>研究规划：</w:t>
      </w:r>
      <w:r>
        <w:rPr>
          <w:rFonts w:ascii="微软雅黑" w:hAnsi="微软雅黑" w:eastAsia="微软雅黑" w:cs="微软雅黑"/>
          <w:color w:val="666666"/>
          <w:sz w:val="20"/>
        </w:rPr>
        <w:t xml:space="preserve"> 后续围绕载荷、胎压、滑移率等工况参数开展研究，并进一步引入颗粒破碎模型，分析工况参数对颗粒土壤变形及轮胎行驶性能的影响。</w:t>
      </w:r>
    </w:p>
    <w:p w14:paraId="285CD2DF">
      <w:pPr>
        <w:spacing w:before="0" w:after="0" w:line="87" w:lineRule="exact"/>
        <w:jc w:val="left"/>
      </w:pPr>
    </w:p>
    <w:p w14:paraId="2A33E616">
      <w:pPr>
        <w:tabs>
          <w:tab w:val="right" w:pos="10440"/>
        </w:tabs>
      </w:pPr>
      <w:r>
        <w:rPr>
          <w:rFonts w:ascii="微软雅黑" w:hAnsi="微软雅黑" w:eastAsia="微软雅黑" w:cs="微软雅黑"/>
          <w:b/>
          <w:color w:val="2C2C2C"/>
          <w:sz w:val="22"/>
        </w:rPr>
        <w:t>弓箭发射过程动态仿真</w:t>
      </w:r>
      <w:r>
        <w:rPr>
          <w:rFonts w:ascii="微软雅黑" w:hAnsi="微软雅黑" w:eastAsia="微软雅黑" w:cs="微软雅黑"/>
          <w:b/>
          <w:color w:val="2C2C2C"/>
          <w:sz w:val="22"/>
        </w:rPr>
        <w:tab/>
      </w:r>
      <w:r>
        <w:rPr>
          <w:rFonts w:ascii="微软雅黑" w:hAnsi="微软雅黑" w:eastAsia="微软雅黑" w:cs="微软雅黑"/>
          <w:color w:val="666666"/>
          <w:sz w:val="22"/>
        </w:rPr>
        <w:t>2025.05-2025.06</w:t>
      </w:r>
    </w:p>
    <w:p w14:paraId="0E489CBD">
      <w:pPr>
        <w:spacing w:before="0" w:after="0" w:line="40" w:lineRule="exact"/>
        <w:jc w:val="left"/>
      </w:pPr>
    </w:p>
    <w:p w14:paraId="72AA0485">
      <w:pPr>
        <w:spacing w:before="0" w:after="0" w:line="333" w:lineRule="exact"/>
        <w:ind w:left="60" w:right="60"/>
        <w:textAlignment w:val="center"/>
      </w:pPr>
      <w:r>
        <w:rPr>
          <w:rFonts w:ascii="微软雅黑" w:hAnsi="微软雅黑" w:eastAsia="微软雅黑" w:cs="微软雅黑"/>
          <w:b/>
          <w:color w:val="666666"/>
          <w:sz w:val="20"/>
        </w:rPr>
        <w:t>项目介绍：</w:t>
      </w:r>
      <w:r>
        <w:rPr>
          <w:rFonts w:ascii="微软雅黑" w:hAnsi="微软雅黑" w:eastAsia="微软雅黑" w:cs="微软雅黑"/>
          <w:color w:val="666666"/>
          <w:sz w:val="20"/>
        </w:rPr>
        <w:t xml:space="preserve"> 独立建立弓、弓弦及箭矢模型，基于 LS-DYNA 模拟弓箭蓄力、释放及发射过程，观察弓弦受力、弓体变形及箭矢运动速度等结果，熟悉机械结构动态仿真的基本流程。</w:t>
      </w:r>
    </w:p>
    <w:p w14:paraId="4E1E2F3D">
      <w:pPr>
        <w:spacing w:before="0" w:after="0" w:line="333" w:lineRule="exact"/>
        <w:ind w:left="60" w:right="60"/>
        <w:textAlignment w:val="center"/>
      </w:pPr>
      <w:r>
        <w:rPr>
          <w:rFonts w:ascii="微软雅黑" w:hAnsi="微软雅黑" w:eastAsia="微软雅黑" w:cs="微软雅黑"/>
          <w:b/>
          <w:color w:val="666666"/>
          <w:sz w:val="20"/>
        </w:rPr>
        <w:t>技术栈：</w:t>
      </w:r>
      <w:r>
        <w:rPr>
          <w:rFonts w:ascii="微软雅黑" w:hAnsi="微软雅黑" w:eastAsia="微软雅黑" w:cs="微软雅黑"/>
          <w:color w:val="666666"/>
          <w:sz w:val="20"/>
        </w:rPr>
        <w:t xml:space="preserve"> LS-DYNA、三维建模、动力学仿真、工程结果分析</w:t>
      </w:r>
    </w:p>
    <w:p w14:paraId="3E1B77B5">
      <w:pPr>
        <w:spacing w:before="0" w:after="0" w:line="333" w:lineRule="exact"/>
        <w:ind w:left="60" w:right="60"/>
        <w:textAlignment w:val="center"/>
      </w:pPr>
      <w:r>
        <w:rPr>
          <w:rFonts w:ascii="微软雅黑" w:hAnsi="微软雅黑" w:eastAsia="微软雅黑" w:cs="微软雅黑"/>
          <w:b/>
          <w:color w:val="666666"/>
          <w:sz w:val="20"/>
        </w:rPr>
        <w:t>项目亮点：</w:t>
      </w:r>
    </w:p>
    <w:p w14:paraId="23C5C88B">
      <w:pPr>
        <w:spacing w:before="0" w:after="0" w:line="333" w:lineRule="exact"/>
        <w:ind w:left="60" w:right="60"/>
        <w:textAlignment w:val="center"/>
      </w:pPr>
      <w:r>
        <w:rPr>
          <w:rFonts w:ascii="微软雅黑" w:hAnsi="微软雅黑" w:eastAsia="微软雅黑" w:cs="微软雅黑"/>
          <w:b/>
          <w:color w:val="666666"/>
          <w:sz w:val="20"/>
        </w:rPr>
        <w:t>· 模型建立：</w:t>
      </w:r>
      <w:r>
        <w:rPr>
          <w:rFonts w:ascii="微软雅黑" w:hAnsi="微软雅黑" w:eastAsia="微软雅黑" w:cs="微软雅黑"/>
          <w:color w:val="666666"/>
          <w:sz w:val="20"/>
        </w:rPr>
        <w:t xml:space="preserve"> 独立完成弓、弓弦及箭矢模型建立，完成弓箭发射过程仿真模型搭建。</w:t>
      </w:r>
    </w:p>
    <w:p w14:paraId="1B89CE0A">
      <w:pPr>
        <w:spacing w:before="0" w:after="0" w:line="333" w:lineRule="exact"/>
        <w:ind w:left="60" w:right="60"/>
        <w:textAlignment w:val="center"/>
      </w:pPr>
      <w:r>
        <w:rPr>
          <w:rFonts w:ascii="微软雅黑" w:hAnsi="微软雅黑" w:eastAsia="微软雅黑" w:cs="微软雅黑"/>
          <w:color w:val="666666"/>
          <w:sz w:val="20"/>
        </w:rPr>
        <w:t xml:space="preserve">· </w:t>
      </w:r>
      <w:r>
        <w:rPr>
          <w:rFonts w:ascii="微软雅黑" w:hAnsi="微软雅黑" w:eastAsia="微软雅黑" w:cs="微软雅黑"/>
          <w:b/>
          <w:color w:val="666666"/>
          <w:sz w:val="20"/>
        </w:rPr>
        <w:t>动态仿真：</w:t>
      </w:r>
      <w:r>
        <w:rPr>
          <w:rFonts w:ascii="微软雅黑" w:hAnsi="微软雅黑" w:eastAsia="微软雅黑" w:cs="微软雅黑"/>
          <w:color w:val="666666"/>
          <w:sz w:val="20"/>
        </w:rPr>
        <w:t xml:space="preserve"> 模拟弓箭从蓄力到释放、箭矢发射的动态过程，观察弓体、弓弦及箭矢的运动变化。</w:t>
      </w:r>
    </w:p>
    <w:p w14:paraId="3A71E321">
      <w:pPr>
        <w:spacing w:before="0" w:after="0" w:line="333" w:lineRule="exact"/>
        <w:ind w:left="60" w:right="60"/>
        <w:textAlignment w:val="center"/>
      </w:pPr>
      <w:r>
        <w:rPr>
          <w:rFonts w:ascii="微软雅黑" w:hAnsi="微软雅黑" w:eastAsia="微软雅黑" w:cs="微软雅黑"/>
          <w:color w:val="666666"/>
          <w:sz w:val="20"/>
        </w:rPr>
        <w:t xml:space="preserve">· </w:t>
      </w:r>
      <w:r>
        <w:rPr>
          <w:rFonts w:ascii="微软雅黑" w:hAnsi="微软雅黑" w:eastAsia="微软雅黑" w:cs="微软雅黑"/>
          <w:b/>
          <w:color w:val="666666"/>
          <w:sz w:val="20"/>
        </w:rPr>
        <w:t>结果分析：</w:t>
      </w:r>
      <w:r>
        <w:rPr>
          <w:rFonts w:ascii="微软雅黑" w:hAnsi="微软雅黑" w:eastAsia="微软雅黑" w:cs="微软雅黑"/>
          <w:color w:val="666666"/>
          <w:sz w:val="20"/>
        </w:rPr>
        <w:t xml:space="preserve"> 观察弓弦受力、弓体变形及箭矢速度等仿真结果，分析动态载荷作用下机械结构的响应特征。</w:t>
      </w:r>
    </w:p>
    <w:p w14:paraId="778AB0D4">
      <w:pPr>
        <w:spacing w:before="0" w:after="0" w:line="150" w:lineRule="exact"/>
        <w:jc w:val="left"/>
      </w:pPr>
    </w:p>
    <w:p w14:paraId="1C9B24E0">
      <w:pPr>
        <w:spacing w:before="0" w:after="0" w:line="464" w:lineRule="exact"/>
        <w:ind w:left="566"/>
        <w:textAlignment w:val="center"/>
        <w:rPr>
          <w:sz w:val="21"/>
        </w:rPr>
      </w:pPr>
      <w:r>
        <w:rPr>
          <w:rFonts w:ascii="微软雅黑" w:hAnsi="微软雅黑" w:eastAsia="微软雅黑" w:cs="微软雅黑"/>
          <w:b/>
          <w:color w:val="2C2C2C"/>
          <w:sz w:val="26"/>
        </w:rPr>
        <w:t>相关技能</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7"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相关技能.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745D635A">
      <w:pPr>
        <w:spacing w:before="0" w:after="0" w:line="14" w:lineRule="exact"/>
        <w:rPr>
          <w:sz w:val="21"/>
        </w:rPr>
      </w:pPr>
    </w:p>
    <w:p w14:paraId="58904CBF">
      <w:pPr>
        <w:spacing w:before="0" w:after="0" w:line="87" w:lineRule="exact"/>
        <w:rPr>
          <w:rFonts w:hint="eastAsia" w:eastAsiaTheme="minorEastAsia"/>
          <w:sz w:val="21"/>
          <w:lang w:val="en-US" w:eastAsia="zh-CN"/>
        </w:rPr>
      </w:pPr>
    </w:p>
    <w:p w14:paraId="5D36ACD6">
      <w:pPr>
        <w:spacing w:before="0" w:after="0" w:line="333" w:lineRule="exact"/>
        <w:ind w:left="60" w:right="60"/>
        <w:textAlignment w:val="center"/>
      </w:pPr>
      <w:r>
        <w:rPr>
          <w:rFonts w:ascii="微软雅黑" w:hAnsi="微软雅黑" w:eastAsia="微软雅黑" w:cs="微软雅黑"/>
          <w:b/>
          <w:color w:val="666666"/>
          <w:sz w:val="20"/>
        </w:rPr>
        <w:t>工程软件：</w:t>
      </w:r>
      <w:r>
        <w:rPr>
          <w:rFonts w:ascii="微软雅黑" w:hAnsi="微软雅黑" w:eastAsia="微软雅黑" w:cs="微软雅黑"/>
          <w:color w:val="666666"/>
          <w:sz w:val="20"/>
        </w:rPr>
        <w:t xml:space="preserve"> SolidWorks、ANSYS Rocky DEM、LS-DYNA、Origin、MATLAB</w:t>
      </w:r>
    </w:p>
    <w:p w14:paraId="6363D6F0">
      <w:pPr>
        <w:spacing w:before="0" w:after="0" w:line="333" w:lineRule="exact"/>
        <w:ind w:left="60"/>
        <w:textAlignment w:val="center"/>
      </w:pPr>
      <w:r>
        <w:rPr>
          <w:rFonts w:ascii="微软雅黑" w:hAnsi="微软雅黑" w:eastAsia="微软雅黑" w:cs="微软雅黑"/>
          <w:b/>
          <w:color w:val="666666"/>
          <w:sz w:val="20"/>
        </w:rPr>
        <w:t>机械设计：</w:t>
      </w:r>
      <w:r>
        <w:rPr>
          <w:rFonts w:ascii="微软雅黑" w:hAnsi="微软雅黑" w:eastAsia="微软雅黑" w:cs="微软雅黑"/>
          <w:color w:val="666666"/>
          <w:sz w:val="20"/>
        </w:rPr>
        <w:t xml:space="preserve"> 熟悉三维建模、装配、阵列、约束及基础运动仿真，具备独立机械结构建模能力。</w:t>
      </w:r>
    </w:p>
    <w:p w14:paraId="78A18F84">
      <w:pPr>
        <w:spacing w:before="0" w:after="0" w:line="333" w:lineRule="exact"/>
        <w:ind w:left="60"/>
        <w:textAlignment w:val="center"/>
      </w:pPr>
      <w:r>
        <w:rPr>
          <w:rFonts w:ascii="微软雅黑" w:hAnsi="微软雅黑" w:eastAsia="微软雅黑" w:cs="微软雅黑"/>
          <w:b/>
          <w:color w:val="666666"/>
          <w:sz w:val="20"/>
        </w:rPr>
        <w:t>工程仿真：</w:t>
      </w:r>
      <w:r>
        <w:rPr>
          <w:rFonts w:ascii="微软雅黑" w:hAnsi="微软雅黑" w:eastAsia="微软雅黑" w:cs="微软雅黑"/>
          <w:color w:val="666666"/>
          <w:sz w:val="20"/>
        </w:rPr>
        <w:t xml:space="preserve"> 掌握离散元及动态过程仿真基础，具备颗粒介质建模、轮胎运动模拟及应力、变形、速度等结果分析经验。</w:t>
      </w:r>
    </w:p>
    <w:p w14:paraId="2B5B6BE2">
      <w:pPr>
        <w:spacing w:before="0" w:after="0" w:line="333" w:lineRule="exact"/>
        <w:ind w:left="60"/>
        <w:textAlignment w:val="center"/>
      </w:pPr>
      <w:r>
        <w:rPr>
          <w:rFonts w:ascii="微软雅黑" w:hAnsi="微软雅黑" w:eastAsia="微软雅黑" w:cs="微软雅黑"/>
          <w:b/>
          <w:color w:val="666666"/>
          <w:sz w:val="20"/>
        </w:rPr>
        <w:t>数据分析：</w:t>
      </w:r>
      <w:r>
        <w:rPr>
          <w:rFonts w:ascii="微软雅黑" w:hAnsi="微软雅黑" w:eastAsia="微软雅黑" w:cs="微软雅黑"/>
          <w:color w:val="666666"/>
          <w:sz w:val="20"/>
        </w:rPr>
        <w:t xml:space="preserve"> 掌握 Origin 数据处理与可视化，具备 MATLAB 基础工程计算能力。</w:t>
      </w: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83C4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00B42">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8" name="图片 8" descr="page_auto_background"/>
          <wp:cNvGraphicFramePr/>
          <a:graphic xmlns:a="http://schemas.openxmlformats.org/drawingml/2006/main">
            <a:graphicData uri="http://schemas.openxmlformats.org/drawingml/2006/picture">
              <pic:pic xmlns:pic="http://schemas.openxmlformats.org/drawingml/2006/picture">
                <pic:nvPicPr>
                  <pic:cNvPr id="8" name="图片 8"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9E759A5"/>
    <w:rsid w:val="14B93137"/>
    <w:rsid w:val="192A24F5"/>
    <w:rsid w:val="1C3F1959"/>
    <w:rsid w:val="1E1E31CB"/>
    <w:rsid w:val="2F2B5F68"/>
    <w:rsid w:val="31E70D56"/>
    <w:rsid w:val="38B05511"/>
    <w:rsid w:val="436405CD"/>
    <w:rsid w:val="459E1D8A"/>
    <w:rsid w:val="49F16BD5"/>
    <w:rsid w:val="4ED846C4"/>
    <w:rsid w:val="5153670D"/>
    <w:rsid w:val="53E178E8"/>
    <w:rsid w:val="568972FD"/>
    <w:rsid w:val="6502090C"/>
    <w:rsid w:val="68F33F75"/>
    <w:rsid w:val="6CD579AC"/>
    <w:rsid w:val="7D79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886</Words>
  <Characters>1046</Characters>
  <Lines>0</Lines>
  <Paragraphs>0</Paragraphs>
  <TotalTime>5</TotalTime>
  <ScaleCrop>false</ScaleCrop>
  <LinksUpToDate>false</LinksUpToDate>
  <CharactersWithSpaces>1090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柯南</cp:lastModifiedBy>
  <dcterms:modified xsi:type="dcterms:W3CDTF">2026-10-27T06:20:52Z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92524C79CCAF4E568F658ADB0F0C759C</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eyJoZGlkIjoiMWM4MmVkOTA1MjFjYzMwZWNmZGFhODliZDBjZWU4YWMiLCJ1c2VySWQiOiIxMTAyMTkyNzQ0In0=</vt:lpwstr>
  </property>
</Properties>
</file>