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3B7DD8" w:sz="6" w:space="8"/>
        </w:pBdr>
        <w:spacing w:after="200"/>
        <w:jc w:val="left"/>
      </w:pPr>
      <w:r>
        <w:rPr>
          <w:rFonts w:ascii="Arial" w:cs="Arial" w:eastAsia="Arial" w:hAnsi="Arial"/>
          <w:b/>
          <w:bCs/>
          <w:color w:val="3B7DD8"/>
          <w:sz w:val="20"/>
          <w:szCs w:val="20"/>
        </w:rPr>
        <w:t xml:space="preserve">KOMPOSOS</w:t>
      </w:r>
    </w:p>
    <w:p>
      <w:pPr>
        <w:spacing w:after="100"/>
      </w:pPr>
    </w:p>
    <w:p>
      <w:pPr>
        <w:spacing w:after="80"/>
      </w:pPr>
      <w:r>
        <w:rPr>
          <w:rFonts w:ascii="Arial" w:cs="Arial" w:eastAsia="Arial" w:hAnsi="Arial"/>
          <w:b/>
          <w:bCs/>
          <w:color w:val="1B2A4A"/>
          <w:sz w:val="56"/>
          <w:szCs w:val="56"/>
        </w:rPr>
        <w:t xml:space="preserve">PFAS Compliance</w:t>
      </w:r>
    </w:p>
    <w:p>
      <w:pPr>
        <w:spacing w:after="80"/>
      </w:pPr>
      <w:r>
        <w:rPr>
          <w:rFonts w:ascii="Arial" w:cs="Arial" w:eastAsia="Arial" w:hAnsi="Arial"/>
          <w:b/>
          <w:bCs/>
          <w:color w:val="1B2A4A"/>
          <w:sz w:val="56"/>
          <w:szCs w:val="56"/>
        </w:rPr>
        <w:t xml:space="preserve">Screening Report</w:t>
      </w:r>
    </w:p>
    <w:p>
      <w:pPr>
        <w:spacing w:after="200"/>
      </w:pPr>
    </w:p>
    <w:p>
      <w:pPr>
        <w:spacing w:after="60"/>
      </w:pPr>
      <w:r>
        <w:rPr>
          <w:rFonts w:ascii="Arial" w:cs="Arial" w:eastAsia="Arial" w:hAnsi="Arial"/>
          <w:color w:val="2E5090"/>
          <w:sz w:val="22"/>
          <w:szCs w:val="22"/>
        </w:rPr>
        <w:t xml:space="preserve">Prepared for:</w:t>
      </w:r>
    </w:p>
    <w:p>
      <w:pPr>
        <w:spacing w:after="200"/>
      </w:pPr>
      <w:r>
        <w:rPr>
          <w:rFonts w:ascii="Arial" w:cs="Arial" w:eastAsia="Arial" w:hAnsi="Arial"/>
          <w:b/>
          <w:bCs/>
          <w:color w:val="1B2A4A"/>
          <w:sz w:val="28"/>
          <w:szCs w:val="28"/>
        </w:rPr>
        <w:t xml:space="preserve">[Client Company Name]</w:t>
      </w:r>
    </w:p>
    <w:p>
      <w:pPr>
        <w:spacing w:after="60"/>
      </w:pPr>
      <w:r>
        <w:rPr>
          <w:rFonts w:ascii="Arial" w:cs="Arial" w:eastAsia="Arial" w:hAnsi="Arial"/>
          <w:color w:val="2C3E50"/>
          <w:sz w:val="22"/>
          <w:szCs w:val="22"/>
        </w:rPr>
        <w:t xml:space="preserve">Portfolio: Li-Ion Cell Materials (47 substances)</w:t>
      </w:r>
    </w:p>
    <w:p>
      <w:pPr>
        <w:spacing w:after="60"/>
      </w:pPr>
      <w:r>
        <w:rPr>
          <w:rFonts w:ascii="Arial" w:cs="Arial" w:eastAsia="Arial" w:hAnsi="Arial"/>
          <w:color w:val="2C3E50"/>
          <w:sz w:val="22"/>
          <w:szCs w:val="22"/>
        </w:rPr>
        <w:t xml:space="preserve">Report Date: March 24, 2026</w:t>
      </w:r>
    </w:p>
    <w:p>
      <w:pPr>
        <w:spacing w:after="60"/>
      </w:pPr>
      <w:r>
        <w:rPr>
          <w:rFonts w:ascii="Arial" w:cs="Arial" w:eastAsia="Arial" w:hAnsi="Arial"/>
          <w:color w:val="2C3E50"/>
          <w:sz w:val="22"/>
          <w:szCs w:val="22"/>
        </w:rPr>
        <w:t xml:space="preserve">Report ID: PFAS-2026-0324-0047</w:t>
      </w:r>
    </w:p>
    <w:p>
      <w:pPr>
        <w:spacing w:after="600"/>
      </w:pPr>
    </w:p>
    <w:p>
      <w:pPr>
        <w:pBdr>
          <w:top w:val="single" w:color="E0E0E0" w:sz="2" w:space="8"/>
        </w:pBdr>
        <w:spacing w:after="60"/>
      </w:pPr>
      <w:r>
        <w:rPr>
          <w:rFonts w:ascii="Arial" w:cs="Arial" w:eastAsia="Arial" w:hAnsi="Arial"/>
          <w:b/>
          <w:bCs/>
          <w:color w:val="C0392B"/>
          <w:sz w:val="18"/>
          <w:szCs w:val="18"/>
        </w:rPr>
        <w:t xml:space="preserve">CONFIDENTIAL</w:t>
      </w:r>
      <w:r>
        <w:rPr>
          <w:rFonts w:ascii="Arial" w:cs="Arial" w:eastAsia="Arial" w:hAnsi="Arial"/>
          <w:color w:val="888888"/>
          <w:sz w:val="16"/>
          <w:szCs w:val="16"/>
        </w:rPr>
        <w:t xml:space="preserve">  |  Prepared by KOMPOSOS Compliance Engine v3.1  |  Apache 2.0 / Commercial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Materials Screened</w:t>
            </w:r>
          </w:p>
        </w:tc>
        <w:tc>
          <w:tcPr>
            <w:tcW w:type="dxa" w:w="234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PFAS Detected</w:t>
            </w:r>
          </w:p>
        </w:tc>
        <w:tc>
          <w:tcPr>
            <w:tcW w:type="dxa" w:w="234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Replacements Found</w:t>
            </w:r>
          </w:p>
        </w:tc>
        <w:tc>
          <w:tcPr>
            <w:tcW w:type="dxa" w:w="234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Compliance Risk</w:t>
            </w:r>
          </w:p>
        </w:tc>
      </w:tr>
      <w:tr>
        <w:tc>
          <w:tcPr>
            <w:tcW w:type="dxa" w:w="234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47</w:t>
            </w:r>
          </w:p>
        </w:tc>
        <w:tc>
          <w:tcPr>
            <w:tcW w:type="dxa" w:w="2340"/>
            <w:tcBorders>
              <w:top w:val="single" w:color="E0E0E0" w:sz="1"/>
              <w:left w:val="single" w:color="E0E0E0" w:sz="1"/>
              <w:bottom w:val="single" w:color="E0E0E0" w:sz="1"/>
              <w:right w:val="single" w:color="E0E0E0"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3</w:t>
            </w:r>
          </w:p>
        </w:tc>
        <w:tc>
          <w:tcPr>
            <w:tcW w:type="dxa" w:w="2340"/>
            <w:tcBorders>
              <w:top w:val="single" w:color="E0E0E0" w:sz="1"/>
              <w:left w:val="single" w:color="E0E0E0" w:sz="1"/>
              <w:bottom w:val="single" w:color="E0E0E0" w:sz="1"/>
              <w:right w:val="single" w:color="E0E0E0"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9 candidates</w:t>
            </w:r>
          </w:p>
        </w:tc>
        <w:tc>
          <w:tcPr>
            <w:tcW w:type="dxa" w:w="2340"/>
            <w:tcBorders>
              <w:top w:val="single" w:color="E0E0E0" w:sz="1"/>
              <w:left w:val="single" w:color="E0E0E0" w:sz="1"/>
              <w:bottom w:val="single" w:color="E0E0E0" w:sz="1"/>
              <w:right w:val="single" w:color="E0E0E0"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HIGH</w:t>
            </w:r>
          </w:p>
        </w:tc>
      </w:tr>
    </w:tbl>
    <w:p>
      <w:pPr>
        <w:spacing w:after="160"/>
      </w:pPr>
    </w:p>
    <w:p>
      <w:pPr>
        <w:spacing w:after="120"/>
      </w:pPr>
      <w:r>
        <w:rPr>
          <w:rFonts w:ascii="Arial" w:cs="Arial" w:eastAsia="Arial" w:hAnsi="Arial"/>
          <w:color w:val="2C3E50"/>
          <w:sz w:val="20"/>
          <w:szCs w:val="20"/>
        </w:rPr>
        <w:t xml:space="preserve">This report screens 47 materials in [Client]'s Li-Ion cell bill of materials against 35 curated PFAS substances mapped to EU, US EPA, and Stockholm Convention regulations. Three materials contain PFAS compounds subject to the EU PFHxA restriction effective October 4, 2026.</w:t>
      </w:r>
    </w:p>
    <w:p>
      <w:pPr>
        <w:spacing w:after="120"/>
      </w:pPr>
      <w:r>
        <w:rPr>
          <w:rFonts w:ascii="Arial" w:cs="Arial" w:eastAsia="Arial" w:hAnsi="Arial"/>
          <w:color w:val="2C3E50"/>
          <w:sz w:val="20"/>
          <w:szCs w:val="20"/>
        </w:rPr>
        <w:t xml:space="preserve">For each flagged material, this report provides: the specific PFAS substance detected, the applicable regulation and deadline, scored replacement candidates with application-specific compatibility analysis, and a full audit trail traceable to source data.</w:t>
      </w:r>
    </w:p>
    <w:p>
      <w:pPr>
        <w:spacing w:after="80"/>
      </w:pPr>
    </w:p>
    <w:p>
      <w:pPr>
        <w:pStyle w:val="Heading1"/>
        <w:spacing w:after="200" w:before="360"/>
      </w:pPr>
      <w:r>
        <w:rPr>
          <w:rFonts w:ascii="Arial" w:cs="Arial" w:eastAsia="Arial" w:hAnsi="Arial"/>
          <w:b/>
          <w:bCs/>
          <w:color w:val="1B2A4A"/>
          <w:sz w:val="28"/>
          <w:szCs w:val="28"/>
        </w:rPr>
        <w:t xml:space="preserve">2. Regulatory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3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Regulation</w:t>
            </w:r>
          </w:p>
        </w:tc>
        <w:tc>
          <w:tcPr>
            <w:tcW w:type="dxa" w:w="25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Scope</w:t>
            </w:r>
          </w:p>
        </w:tc>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Oct 4, 2026</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EU PFHxA Restriction (2021/1297)</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Manufacturing + import ban</w:t>
            </w:r>
          </w:p>
        </w:tc>
        <w:tc>
          <w:tcPr>
            <w:tcW w:type="dxa" w:w="1800"/>
            <w:tcBorders>
              <w:top w:val="single" w:color="E0E0E0" w:sz="1"/>
              <w:left w:val="single" w:color="E0E0E0" w:sz="1"/>
              <w:bottom w:val="single" w:color="E0E0E0" w:sz="1"/>
              <w:right w:val="single" w:color="E0E0E0"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190 DAYS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Jul 1, 2026</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US EPA TRI Reporting (9 new PFAS)</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Mandatory reporting</w:t>
            </w:r>
          </w:p>
        </w:tc>
        <w:tc>
          <w:tcPr>
            <w:tcW w:type="dxa" w:w="1800"/>
            <w:tcBorders>
              <w:top w:val="single" w:color="E0E0E0" w:sz="1"/>
              <w:left w:val="single" w:color="E0E0E0" w:sz="1"/>
              <w:bottom w:val="single" w:color="E0E0E0" w:sz="1"/>
              <w:right w:val="single" w:color="E0E0E0"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99 DAYS</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2027</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EU Universal PFAS Restriction (proposed)</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5,000+ substances</w:t>
            </w:r>
          </w:p>
        </w:tc>
        <w:tc>
          <w:tcPr>
            <w:tcW w:type="dxa" w:w="1800"/>
            <w:tcBorders>
              <w:top w:val="single" w:color="E0E0E0" w:sz="1"/>
              <w:left w:val="single" w:color="E0E0E0" w:sz="1"/>
              <w:bottom w:val="single" w:color="E0E0E0" w:sz="1"/>
              <w:right w:val="single" w:color="E0E0E0"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8"/>
                <w:szCs w:val="18"/>
              </w:rPr>
              <w:t xml:space="preserve">PENDING</w:t>
            </w:r>
          </w:p>
        </w:tc>
      </w:tr>
    </w:tbl>
    <w:p>
      <w:pPr>
        <w:spacing w:after="200"/>
      </w:pPr>
    </w:p>
    <w:p>
      <w:pPr>
        <w:pStyle w:val="Heading1"/>
        <w:spacing w:after="200" w:before="360"/>
      </w:pPr>
      <w:r>
        <w:rPr>
          <w:rFonts w:ascii="Arial" w:cs="Arial" w:eastAsia="Arial" w:hAnsi="Arial"/>
          <w:b/>
          <w:bCs/>
          <w:color w:val="1B2A4A"/>
          <w:sz w:val="28"/>
          <w:szCs w:val="28"/>
        </w:rPr>
        <w:t xml:space="preserve">3. Portfolio Screening Results</w:t>
      </w:r>
    </w:p>
    <w:p>
      <w:pPr>
        <w:pStyle w:val="Heading2"/>
        <w:spacing w:after="120" w:before="240"/>
      </w:pPr>
      <w:r>
        <w:rPr>
          <w:rFonts w:ascii="Arial" w:cs="Arial" w:eastAsia="Arial" w:hAnsi="Arial"/>
          <w:b/>
          <w:bCs/>
          <w:color w:val="2E5090"/>
          <w:sz w:val="24"/>
          <w:szCs w:val="24"/>
        </w:rPr>
        <w:t xml:space="preserve">3.1 PFAS Detection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800"/>
        <w:gridCol w:w="1760"/>
      </w:tblGrid>
      <w:tr>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Material</w:t>
            </w:r>
          </w:p>
        </w:tc>
        <w:tc>
          <w:tcPr>
            <w:tcW w:type="dxa" w:w="1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CAS Number</w:t>
            </w:r>
          </w:p>
        </w:tc>
        <w:tc>
          <w:tcPr>
            <w:tcW w:type="dxa" w:w="1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Function</w:t>
            </w:r>
          </w:p>
        </w:tc>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PFAS Substance</w:t>
            </w:r>
          </w:p>
        </w:tc>
        <w:tc>
          <w:tcPr>
            <w:tcW w:type="dxa" w:w="17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r>
      <w:tr>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PVDF (Kynar 761)</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24937-79-9</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Cathode binder</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Polyvinylidene fluoride</w:t>
            </w:r>
          </w:p>
        </w:tc>
        <w:tc>
          <w:tcPr>
            <w:tcW w:type="dxa" w:w="1760"/>
            <w:tcBorders>
              <w:top w:val="single" w:color="E0E0E0" w:sz="1"/>
              <w:left w:val="single" w:color="E0E0E0" w:sz="1"/>
              <w:bottom w:val="single" w:color="E0E0E0" w:sz="1"/>
              <w:right w:val="single" w:color="E0E0E0"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PFAS DETECTED</w:t>
            </w:r>
          </w:p>
        </w:tc>
      </w:tr>
      <w:tr>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FEP coating (Teflon FEP)</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25067-11-2</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Separator coating</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Fluorinated ethylene propylene</w:t>
            </w:r>
          </w:p>
        </w:tc>
        <w:tc>
          <w:tcPr>
            <w:tcW w:type="dxa" w:w="1760"/>
            <w:tcBorders>
              <w:top w:val="single" w:color="E0E0E0" w:sz="1"/>
              <w:left w:val="single" w:color="E0E0E0" w:sz="1"/>
              <w:bottom w:val="single" w:color="E0E0E0" w:sz="1"/>
              <w:right w:val="single" w:color="E0E0E0"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PFAS DETECTED</w:t>
            </w:r>
          </w:p>
        </w:tc>
      </w:tr>
      <w:tr>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PTFE gasket seal</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9002-84-0</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Cell seal</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Polytetrafluoroethylene</w:t>
            </w:r>
          </w:p>
        </w:tc>
        <w:tc>
          <w:tcPr>
            <w:tcW w:type="dxa" w:w="1760"/>
            <w:tcBorders>
              <w:top w:val="single" w:color="E0E0E0" w:sz="1"/>
              <w:left w:val="single" w:color="E0E0E0" w:sz="1"/>
              <w:bottom w:val="single" w:color="E0E0E0" w:sz="1"/>
              <w:right w:val="single" w:color="E0E0E0"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PFAS DETECTED</w:t>
            </w:r>
          </w:p>
        </w:tc>
      </w:tr>
      <w:tr>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NMC811 (cathode active)</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Cathode</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760"/>
            <w:tcBorders>
              <w:top w:val="single" w:color="E0E0E0" w:sz="1"/>
              <w:left w:val="single" w:color="E0E0E0" w:sz="1"/>
              <w:bottom w:val="single" w:color="E0E0E0" w:sz="1"/>
              <w:right w:val="single" w:color="E0E0E0"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PFAS-FREE</w:t>
            </w:r>
          </w:p>
        </w:tc>
      </w:tr>
      <w:tr>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LiPF6 (electrolyte salt)</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21324-40-3</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Electrolyte</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t>
            </w:r>
          </w:p>
        </w:tc>
        <w:tc>
          <w:tcPr>
            <w:tcW w:type="dxa" w:w="1760"/>
            <w:tcBorders>
              <w:top w:val="single" w:color="E0E0E0" w:sz="1"/>
              <w:left w:val="single" w:color="E0E0E0" w:sz="1"/>
              <w:bottom w:val="single" w:color="E0E0E0" w:sz="1"/>
              <w:right w:val="single" w:color="E0E0E0"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PFAS-FREE</w:t>
            </w:r>
          </w:p>
        </w:tc>
      </w:tr>
      <w:tr>
        <w:tc>
          <w:tcPr>
            <w:tcW w:type="dxa" w:w="2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888888"/>
                <w:sz w:val="18"/>
                <w:szCs w:val="18"/>
              </w:rPr>
              <w:t xml:space="preserve">... (42 more materials)</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888888"/>
                <w:sz w:val="18"/>
                <w:szCs w:val="18"/>
              </w:rPr>
              <w:t xml:space="preserve">--</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888888"/>
                <w:sz w:val="18"/>
                <w:szCs w:val="18"/>
              </w:rPr>
              <w:t xml:space="preserve">--</w:t>
            </w:r>
          </w:p>
        </w:tc>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888888"/>
                <w:sz w:val="18"/>
                <w:szCs w:val="18"/>
              </w:rPr>
              <w:t xml:space="preserve">--</w:t>
            </w:r>
          </w:p>
        </w:tc>
        <w:tc>
          <w:tcPr>
            <w:tcW w:type="dxa" w:w="1760"/>
            <w:tcBorders>
              <w:top w:val="single" w:color="E0E0E0" w:sz="1"/>
              <w:left w:val="single" w:color="E0E0E0" w:sz="1"/>
              <w:bottom w:val="single" w:color="E0E0E0" w:sz="1"/>
              <w:right w:val="single" w:color="E0E0E0"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PFAS-FREE</w:t>
            </w:r>
          </w:p>
        </w:tc>
      </w:tr>
    </w:tbl>
    <w:p>
      <w:pPr>
        <w:spacing w:after="200"/>
      </w:pPr>
    </w:p>
    <w:p>
      <w:pPr>
        <w:pStyle w:val="Heading1"/>
        <w:spacing w:after="200" w:before="360"/>
      </w:pPr>
      <w:r>
        <w:rPr>
          <w:rFonts w:ascii="Arial" w:cs="Arial" w:eastAsia="Arial" w:hAnsi="Arial"/>
          <w:b/>
          <w:bCs/>
          <w:color w:val="1B2A4A"/>
          <w:sz w:val="28"/>
          <w:szCs w:val="28"/>
        </w:rPr>
        <w:t xml:space="preserve">4. Replacement Analysis</w:t>
      </w:r>
    </w:p>
    <w:p>
      <w:pPr>
        <w:pStyle w:val="Heading2"/>
        <w:spacing w:after="120" w:before="240"/>
      </w:pPr>
      <w:r>
        <w:rPr>
          <w:rFonts w:ascii="Arial" w:cs="Arial" w:eastAsia="Arial" w:hAnsi="Arial"/>
          <w:b/>
          <w:bCs/>
          <w:color w:val="2E5090"/>
          <w:sz w:val="24"/>
          <w:szCs w:val="24"/>
        </w:rPr>
        <w:t xml:space="preserve">4.1 PVDF Binder Replacement</w:t>
      </w:r>
    </w:p>
    <w:p>
      <w:pPr>
        <w:spacing w:after="120"/>
      </w:pPr>
      <w:r>
        <w:rPr>
          <w:rFonts w:ascii="Arial" w:cs="Arial" w:eastAsia="Arial" w:hAnsi="Arial"/>
          <w:color w:val="2C3E50"/>
          <w:sz w:val="20"/>
          <w:szCs w:val="20"/>
        </w:rPr>
        <w:t xml:space="preserve">PVDF (polyvinylidene fluoride) is the most critical finding. It is the primary cathode binder in the current cell design. Three replacement candidates were screened for compatibility with the NMC811 cathode, LiPF6 electrolyte, and Cu current collector.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Replacement</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Adhesion</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Electrolyte</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Thermal</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Cathode</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Overall</w:t>
            </w:r>
          </w:p>
        </w:tc>
        <w:tc>
          <w:tcPr>
            <w:tcW w:type="dxa" w:w="15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CMC/SBR blend</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0.82</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0.88</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0.71</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0.85</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0.84</w:t>
            </w:r>
          </w:p>
        </w:tc>
        <w:tc>
          <w:tcPr>
            <w:tcW w:type="dxa" w:w="1560"/>
            <w:tcBorders>
              <w:top w:val="single" w:color="E0E0E0" w:sz="1"/>
              <w:left w:val="single" w:color="E0E0E0" w:sz="1"/>
              <w:bottom w:val="single" w:color="E0E0E0" w:sz="1"/>
              <w:right w:val="single" w:color="E0E0E0"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VALIDATED</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PAA (polyacrylic acid)</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0.91</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0.76</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0.83</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0.79</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0.80</w:t>
            </w:r>
          </w:p>
        </w:tc>
        <w:tc>
          <w:tcPr>
            <w:tcW w:type="dxa" w:w="1560"/>
            <w:tcBorders>
              <w:top w:val="single" w:color="E0E0E0" w:sz="1"/>
              <w:left w:val="single" w:color="E0E0E0" w:sz="1"/>
              <w:bottom w:val="single" w:color="E0E0E0" w:sz="1"/>
              <w:right w:val="single" w:color="E0E0E0"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VALIDATED</w:t>
            </w:r>
          </w:p>
        </w:tc>
      </w:tr>
      <w:tr>
        <w:tc>
          <w:tcPr>
            <w:tcW w:type="dxa" w:w="1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Alginate (Na-alginate)</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0.74</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0.69</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0.65</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0.72</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bCs/>
                <w:color w:val="2C3E50"/>
                <w:sz w:val="18"/>
                <w:szCs w:val="18"/>
              </w:rPr>
              <w:t xml:space="preserve">0.71</w:t>
            </w:r>
          </w:p>
        </w:tc>
        <w:tc>
          <w:tcPr>
            <w:tcW w:type="dxa" w:w="1560"/>
            <w:tcBorders>
              <w:top w:val="single" w:color="E0E0E0" w:sz="1"/>
              <w:left w:val="single" w:color="E0E0E0" w:sz="1"/>
              <w:bottom w:val="single" w:color="E0E0E0" w:sz="1"/>
              <w:right w:val="single" w:color="E0E0E0"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CAUTION</w:t>
            </w:r>
          </w:p>
        </w:tc>
      </w:tr>
    </w:tbl>
    <w:p>
      <w:pPr>
        <w:spacing w:after="120"/>
      </w:pPr>
    </w:p>
    <w:p>
      <w:pPr>
        <w:spacing w:after="120"/>
      </w:pPr>
      <w:r>
        <w:rPr>
          <w:rFonts w:ascii="Arial" w:cs="Arial" w:eastAsia="Arial" w:hAnsi="Arial"/>
          <w:color w:val="2C3E50"/>
          <w:sz w:val="20"/>
          <w:szCs w:val="20"/>
        </w:rPr>
        <w:t xml:space="preserve">Recommendation: CMC/SBR blend is the highest-scoring replacement (0.84 overall) with validated compatibility across all four domains. PAA is a strong secondary option with superior adhesion (0.91) but reduced electrolyte stability. Alginate scores below the 0.75 threshold for thermal compatibility and requires further testing before qualification.</w:t>
      </w:r>
    </w:p>
    <w:p>
      <w:pPr>
        <w:spacing w:after="80"/>
      </w:pPr>
    </w:p>
    <w:p>
      <w:pPr>
        <w:pStyle w:val="Heading2"/>
        <w:spacing w:after="120" w:before="240"/>
      </w:pPr>
      <w:r>
        <w:rPr>
          <w:rFonts w:ascii="Arial" w:cs="Arial" w:eastAsia="Arial" w:hAnsi="Arial"/>
          <w:b/>
          <w:bCs/>
          <w:color w:val="2E5090"/>
          <w:sz w:val="24"/>
          <w:szCs w:val="24"/>
        </w:rPr>
        <w:t xml:space="preserve">4.2 Compatibility Provenance (CMC/SBR)</w:t>
      </w:r>
    </w:p>
    <w:p>
      <w:pPr>
        <w:spacing w:after="120"/>
      </w:pPr>
      <w:r>
        <w:rPr>
          <w:rFonts w:ascii="Arial" w:cs="Arial" w:eastAsia="Arial" w:hAnsi="Arial"/>
          <w:color w:val="2C3E50"/>
          <w:sz w:val="20"/>
          <w:szCs w:val="20"/>
        </w:rPr>
        <w:t xml:space="preserve">Every score above traces to specific source data. Below is the provenance chain for the CMC/SBR cathode compatibility score of 0.85: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Property</w:t>
            </w:r>
          </w:p>
        </w:tc>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2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Contribution</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Binding energy (NMC811)</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1.8 J/m² (vs PVDF: 2.1 J/m²)</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mp-756938, mp-25747</w:t>
            </w:r>
          </w:p>
        </w:tc>
        <w:tc>
          <w:tcPr>
            <w:tcW w:type="dxa" w:w="2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0.82 (86% of PVDF)</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CTE mismatch</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4.2 ppm/K (within 10 ppm limit)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mp-756938</w:t>
            </w:r>
          </w:p>
        </w:tc>
        <w:tc>
          <w:tcPr>
            <w:tcW w:type="dxa" w:w="2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0.91 (pass)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Electrochemical window</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0.1 - 4.5 V (covers NMC range)</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DOI: 10.1021/acs...</w:t>
            </w:r>
          </w:p>
        </w:tc>
        <w:tc>
          <w:tcPr>
            <w:tcW w:type="dxa" w:w="2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0.88 (pass)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Slurry processability</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Water-based (vs NMP for PVDF)</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Industry standard</w:t>
            </w:r>
          </w:p>
        </w:tc>
        <w:tc>
          <w:tcPr>
            <w:tcW w:type="dxa" w:w="2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center"/>
            </w:pPr>
            <w:r>
              <w:rPr>
                <w:rFonts w:ascii="Arial" w:cs="Arial" w:eastAsia="Arial" w:hAnsi="Arial"/>
                <w:b w:val="false"/>
                <w:bCs w:val="false"/>
                <w:color w:val="2C3E50"/>
                <w:sz w:val="18"/>
                <w:szCs w:val="18"/>
              </w:rPr>
              <w:t xml:space="preserve">0.79 (advantage)</w:t>
            </w:r>
          </w:p>
        </w:tc>
      </w:tr>
    </w:tbl>
    <w:p>
      <w:pPr>
        <w:spacing w:after="120"/>
      </w:pPr>
    </w:p>
    <w:p>
      <w:pPr>
        <w:spacing w:after="120"/>
      </w:pPr>
      <w:r>
        <w:rPr>
          <w:rFonts w:ascii="Arial" w:cs="Arial" w:eastAsia="Arial" w:hAnsi="Arial"/>
          <w:color w:val="2C3E50"/>
          <w:sz w:val="20"/>
          <w:szCs w:val="20"/>
        </w:rPr>
        <w:t xml:space="preserve">Note: CMC/SBR uses water-based slurry processing, eliminating NMP solvent (a regulated toxic substance). This represents an additional compliance advantage beyond PFAS replacement.</w:t>
      </w:r>
    </w:p>
    <w:p>
      <w:pPr>
        <w:spacing w:after="200"/>
      </w:pPr>
    </w:p>
    <w:p>
      <w:pPr>
        <w:pStyle w:val="Heading1"/>
        <w:spacing w:after="200" w:before="360"/>
      </w:pPr>
      <w:r>
        <w:rPr>
          <w:rFonts w:ascii="Arial" w:cs="Arial" w:eastAsia="Arial" w:hAnsi="Arial"/>
          <w:b/>
          <w:bCs/>
          <w:color w:val="1B2A4A"/>
          <w:sz w:val="28"/>
          <w:szCs w:val="28"/>
        </w:rPr>
        <w:t xml:space="preserve">5. Recommended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560"/>
      </w:tblGrid>
      <w:tr>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c>
          <w:tcPr>
            <w:tcW w:type="dxa" w:w="3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Timeline</w:t>
            </w:r>
          </w:p>
        </w:tc>
        <w:tc>
          <w:tcPr>
            <w:tcW w:type="dxa" w:w="25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 if Delayed</w:t>
            </w:r>
          </w:p>
        </w:tc>
      </w:tr>
      <w:tr>
        <w:tc>
          <w:tcPr>
            <w:tcW w:type="dxa" w:w="1200"/>
            <w:tcBorders>
              <w:top w:val="single" w:color="E0E0E0" w:sz="1"/>
              <w:left w:val="single" w:color="E0E0E0" w:sz="1"/>
              <w:bottom w:val="single" w:color="E0E0E0" w:sz="1"/>
              <w:right w:val="single" w:color="E0E0E0" w:sz="1"/>
            </w:tcBorders>
            <w:shd w:fill="FADBD8"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P0</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Qualify CMC/SBR binder on NMC811 cathode line</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Weeks 1-8 (by June 2026)</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C0392B"/>
                <w:sz w:val="18"/>
                <w:szCs w:val="18"/>
              </w:rPr>
              <w:t xml:space="preserve">Cell production halt Oct 2026</w:t>
            </w:r>
          </w:p>
        </w:tc>
      </w:tr>
      <w:tr>
        <w:tc>
          <w:tcPr>
            <w:tcW w:type="dxa" w:w="1200"/>
            <w:tcBorders>
              <w:top w:val="single" w:color="E0E0E0" w:sz="1"/>
              <w:left w:val="single" w:color="E0E0E0" w:sz="1"/>
              <w:bottom w:val="single" w:color="E0E0E0" w:sz="1"/>
              <w:right w:val="single" w:color="E0E0E0"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P1</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Source PTFE-free gasket seal alternative</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Weeks 1-4</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E67E22"/>
                <w:sz w:val="18"/>
                <w:szCs w:val="18"/>
              </w:rPr>
              <w:t xml:space="preserve">Cell assembly non-compliant</w:t>
            </w:r>
          </w:p>
        </w:tc>
      </w:tr>
      <w:tr>
        <w:tc>
          <w:tcPr>
            <w:tcW w:type="dxa" w:w="1200"/>
            <w:tcBorders>
              <w:top w:val="single" w:color="E0E0E0" w:sz="1"/>
              <w:left w:val="single" w:color="E0E0E0" w:sz="1"/>
              <w:bottom w:val="single" w:color="E0E0E0" w:sz="1"/>
              <w:right w:val="single" w:color="E0E0E0" w:sz="1"/>
            </w:tcBorders>
            <w:shd w:fill="FDEBD0" w:val="clear"/>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P1</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Evaluate non-fluorinated separator coating</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Weeks 2-6</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E67E22"/>
                <w:sz w:val="18"/>
                <w:szCs w:val="18"/>
              </w:rPr>
              <w:t xml:space="preserve">Separator supply chain risk</w:t>
            </w:r>
          </w:p>
        </w:tc>
      </w:tr>
      <w:tr>
        <w:tc>
          <w:tcPr>
            <w:tcW w:type="dxa" w:w="1200"/>
            <w:tcBorders>
              <w:top w:val="single" w:color="E0E0E0" w:sz="1"/>
              <w:left w:val="single" w:color="E0E0E0" w:sz="1"/>
              <w:bottom w:val="single" w:color="E0E0E0" w:sz="1"/>
              <w:right w:val="single" w:color="E0E0E0"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8"/>
                <w:szCs w:val="18"/>
              </w:rPr>
              <w:t xml:space="preserve">P2</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Document full BOM audit trail for EU regulator</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Weeks 4-8</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Compliance documentation gap</w:t>
            </w:r>
          </w:p>
        </w:tc>
      </w:tr>
      <w:tr>
        <w:tc>
          <w:tcPr>
            <w:tcW w:type="dxa" w:w="1200"/>
            <w:tcBorders>
              <w:top w:val="single" w:color="E0E0E0" w:sz="1"/>
              <w:left w:val="single" w:color="E0E0E0" w:sz="1"/>
              <w:bottom w:val="single" w:color="E0E0E0" w:sz="1"/>
              <w:right w:val="single" w:color="E0E0E0" w:sz="1"/>
            </w:tcBorders>
            <w:shd w:fill="D5F5E3"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P3</w:t>
            </w:r>
          </w:p>
        </w:tc>
        <w:tc>
          <w:tcPr>
            <w:tcW w:type="dxa" w:w="32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Monitor EU universal PFAS restriction (2027) scope</w:t>
            </w:r>
          </w:p>
        </w:tc>
        <w:tc>
          <w:tcPr>
            <w:tcW w:type="dxa" w:w="240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Ongoing</w:t>
            </w:r>
          </w:p>
        </w:tc>
        <w:tc>
          <w:tcPr>
            <w:tcW w:type="dxa" w:w="25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Future supply chain disruption</w:t>
            </w:r>
          </w:p>
        </w:tc>
      </w:tr>
    </w:tbl>
    <w:p>
      <w:pPr>
        <w:spacing w:after="200"/>
      </w:pPr>
    </w:p>
    <w:p>
      <w:pPr>
        <w:pStyle w:val="Heading1"/>
        <w:spacing w:after="200" w:before="360"/>
      </w:pPr>
      <w:r>
        <w:rPr>
          <w:rFonts w:ascii="Arial" w:cs="Arial" w:eastAsia="Arial" w:hAnsi="Arial"/>
          <w:b/>
          <w:bCs/>
          <w:color w:val="1B2A4A"/>
          <w:sz w:val="28"/>
          <w:szCs w:val="28"/>
        </w:rPr>
        <w:t xml:space="preserve">6. Methodology &amp; Limitations</w:t>
      </w:r>
    </w:p>
    <w:p>
      <w:pPr>
        <w:spacing w:after="120"/>
      </w:pPr>
      <w:r>
        <w:rPr>
          <w:rFonts w:ascii="Arial" w:cs="Arial" w:eastAsia="Arial" w:hAnsi="Arial"/>
          <w:color w:val="2C3E50"/>
          <w:sz w:val="20"/>
          <w:szCs w:val="20"/>
        </w:rPr>
        <w:t xml:space="preserve">This screening was performed using the KOMPOSOS Compliance Engine v3.1. Materials were screened against a curated database of 35 PFAS substances with CAS number verification. Compatibility scores are computed via structured interpolation over 103,644 materials from the Materials Project database, with provenance tracing to specific source entries.</w:t>
      </w:r>
    </w:p>
    <w:p>
      <w:pPr>
        <w:spacing w:after="120"/>
      </w:pPr>
      <w:r>
        <w:rPr>
          <w:rFonts w:ascii="Arial" w:cs="Arial" w:eastAsia="Arial" w:hAnsi="Arial"/>
          <w:color w:val="2C3E50"/>
          <w:sz w:val="20"/>
          <w:szCs w:val="20"/>
        </w:rPr>
        <w:t xml:space="preserve">Compatibility scores represent multi-domain analysis: each replacement is scored against the cathode, electrolyte, thermal environment, and current collector simultaneously. Scores above 0.75 are classified VALIDATED; 0.60-0.75 CAUTION; below 0.60 VETOED.</w:t>
      </w:r>
    </w:p>
    <w:p>
      <w:pPr>
        <w:spacing w:after="120"/>
      </w:pPr>
      <w:r>
        <w:rPr>
          <w:rFonts w:ascii="Arial" w:cs="Arial" w:eastAsia="Arial" w:hAnsi="Arial"/>
          <w:color w:val="2C3E50"/>
          <w:sz w:val="20"/>
          <w:szCs w:val="20"/>
        </w:rPr>
        <w:t xml:space="preserve">Limitations: (1) Compatibility scores are interpolated from known materials data, not ab initio quantum chemistry calculations. Accuracy has been validated via leave-one-out testing (voltage error 1.6-7.2%, crystal structure 23/23 correct). (2) Scores do not replace physical qualification testing. (3) PFAS substance list covers the 35 most regulated compounds; the broader EU restriction (2027) may add thousands more.</w:t>
      </w:r>
    </w:p>
    <w:p>
      <w:pPr>
        <w:spacing w:after="200"/>
      </w:pPr>
    </w:p>
    <w:p>
      <w:pPr>
        <w:pStyle w:val="Heading1"/>
        <w:spacing w:after="200" w:before="360"/>
      </w:pPr>
      <w:r>
        <w:rPr>
          <w:rFonts w:ascii="Arial" w:cs="Arial" w:eastAsia="Arial" w:hAnsi="Arial"/>
          <w:b/>
          <w:bCs/>
          <w:color w:val="1B2A4A"/>
          <w:sz w:val="28"/>
          <w:szCs w:val="28"/>
        </w:rPr>
        <w:t xml:space="preserve">7. Audit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Report ID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PFAS-2026-0324-0047</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Screening Engine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KOMPOSOS Compliance Engine v3.1</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Materials Screened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47 (full Li-Ion cell BOM)</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PFAS Database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35 substances (CAS-verified, EU/US/Stockholm mapped)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Materials Database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103,644 entries (Materials Project + 169 curated)</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Verification Method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Dual-engine (categorical + ZFC set-theoretic) with provenance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Validation Status</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Leave-one-out validated: 1.6-7.2% voltage error, 23/23 structure</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Test Suite</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1,423 automated tests passing</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Generated</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March 24, 2026 at 14:32 UTC</w:t>
            </w:r>
          </w:p>
        </w:tc>
      </w:tr>
      <w:tr>
        <w:tc>
          <w:tcPr>
            <w:tcW w:type="dxa" w:w="3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vAlign w:val="center"/>
          </w:tcPr>
          <w:p>
            <w:pPr>
              <w:jc w:val="left"/>
            </w:pPr>
            <w:r>
              <w:rPr>
                <w:rFonts w:ascii="Arial" w:cs="Arial" w:eastAsia="Arial" w:hAnsi="Arial"/>
                <w:b/>
                <w:bCs/>
                <w:color w:val="2C3E50"/>
                <w:sz w:val="18"/>
                <w:szCs w:val="18"/>
              </w:rPr>
              <w:t xml:space="preserve">Prepared by</w:t>
            </w:r>
          </w:p>
        </w:tc>
        <w:tc>
          <w:tcPr>
            <w:tcW w:type="dxa" w:w="6160"/>
            <w:tcBorders>
              <w:top w:val="single" w:color="E0E0E0" w:sz="1"/>
              <w:left w:val="single" w:color="E0E0E0" w:sz="1"/>
              <w:bottom w:val="single" w:color="E0E0E0" w:sz="1"/>
              <w:right w:val="single" w:color="E0E0E0" w:sz="1"/>
            </w:tcBorders>
            <w:tcMar>
              <w:top w:type="dxa" w:w="60"/>
              <w:left w:type="dxa" w:w="100"/>
              <w:bottom w:type="dxa" w:w="60"/>
              <w:right w:type="dxa" w:w="100"/>
            </w:tcMar>
            <w:vAlign w:val="center"/>
          </w:tcPr>
          <w:p>
            <w:pPr>
              <w:jc w:val="left"/>
            </w:pPr>
            <w:r>
              <w:rPr>
                <w:rFonts w:ascii="Arial" w:cs="Arial" w:eastAsia="Arial" w:hAnsi="Arial"/>
                <w:b w:val="false"/>
                <w:bCs w:val="false"/>
                <w:color w:val="2C3E50"/>
                <w:sz w:val="18"/>
                <w:szCs w:val="18"/>
              </w:rPr>
              <w:t xml:space="preserve">James Ray Hawkins  |  jhawk314@gmail.com  |  KOMPOSOS</w:t>
            </w:r>
          </w:p>
        </w:tc>
      </w:tr>
    </w:tbl>
    <w:p>
      <w:pPr>
        <w:spacing w:after="200"/>
      </w:pPr>
    </w:p>
    <w:p>
      <w:pPr>
        <w:pBdr>
          <w:top w:val="single" w:color="E0E0E0" w:sz="2" w:space="8"/>
        </w:pBdr>
        <w:spacing w:after="60"/>
      </w:pPr>
      <w:r>
        <w:rPr>
          <w:rFonts w:ascii="Arial" w:cs="Arial" w:eastAsia="Arial" w:hAnsi="Arial"/>
          <w:b/>
          <w:bCs/>
          <w:color w:val="888888"/>
          <w:sz w:val="18"/>
          <w:szCs w:val="18"/>
        </w:rPr>
        <w:t xml:space="preserve">END OF REPORT</w:t>
      </w:r>
    </w:p>
    <w:p>
      <w:pPr>
        <w:spacing w:after="120"/>
      </w:pPr>
      <w:r>
        <w:rPr>
          <w:rFonts w:ascii="Arial" w:cs="Arial" w:eastAsia="Arial" w:hAnsi="Arial"/>
          <w:color w:val="2C3E50"/>
          <w:sz w:val="20"/>
          <w:szCs w:val="20"/>
        </w:rPr>
        <w:t xml:space="preserve">This report is generated by automated screening software and does not constitute legal, regulatory, or engineering advice. Physical qualification testing is required before production changes. Consult legal counsel for regulatory compliance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tabs>
        <w:tab w:val="right" w:pos="9026"/>
      </w:tabs>
    </w:pPr>
    <w:r>
      <w:rPr>
        <w:rFonts w:ascii="Arial" w:cs="Arial" w:eastAsia="Arial" w:hAnsi="Arial"/>
        <w:color w:val="888888"/>
        <w:sz w:val="14"/>
        <w:szCs w:val="14"/>
      </w:rPr>
      <w:t xml:space="preserve">CONFIDENTIAL  |  KOMPOSOS Compliance Engine</w:t>
    </w:r>
    <w: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DD8" w:sz="2" w:space="4"/>
      </w:pBdr>
      <w:tabs>
        <w:tab w:val="right" w:pos="9026"/>
      </w:tabs>
    </w:pPr>
    <w:r>
      <w:rPr>
        <w:rFonts w:ascii="Arial" w:cs="Arial" w:eastAsia="Arial" w:hAnsi="Arial"/>
        <w:color w:val="3B7DD8"/>
        <w:sz w:val="16"/>
        <w:szCs w:val="16"/>
      </w:rPr>
      <w:t xml:space="preserve">PFAS Compliance Screening Report</w:t>
    </w:r>
    <w:r>
      <w:t xml:space="preserve">	</w:t>
    </w:r>
    <w:r>
      <w:rPr>
        <w:rFonts w:ascii="Arial" w:cs="Arial" w:eastAsia="Arial" w:hAnsi="Arial"/>
        <w:color w:val="888888"/>
        <w:sz w:val="16"/>
        <w:szCs w:val="16"/>
      </w:rPr>
      <w:t xml:space="preserve">PFAS-2026-0324-0047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2026-03-24T19:20:35.736Z</dcterms:created>
  <dcterms:modified xsi:type="dcterms:W3CDTF">2026-03-24T19:20:35.737Z</dcterms:modified>
</cp:coreProperties>
</file>

<file path=docProps/custom.xml><?xml version="1.0" encoding="utf-8"?>
<Properties xmlns="http://schemas.openxmlformats.org/officeDocument/2006/custom-properties" xmlns:vt="http://schemas.openxmlformats.org/officeDocument/2006/docPropsVTypes"/>
</file>