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keepNext/>
        <w:spacing w:after="320"/>
        <w:jc w:val="center"/>
      </w:pPr>
      <w:r>
        <w:rPr>
          <w:rFonts w:ascii="Times New Roman" w:hAnsi="Times New Roman"/>
          <w:b/>
          <w:sz w:val="38"/>
        </w:rPr>
        <w:t>A Survey of Artificial Intelligence in Multiple Sclerosis MRI: Datasets, Technical Performance, Evidence Quality, and Clinical Translation</w:t>
      </w:r>
    </w:p>
    <w:p>
      <w:pPr>
        <w:spacing w:line="276" w:lineRule="auto" w:after="240"/>
        <w:jc w:val="center"/>
      </w:pPr>
      <w:r>
        <w:rPr>
          <w:rFonts w:ascii="Times New Roman" w:hAnsi="Times New Roman"/>
          <w:b/>
          <w:sz w:val="21"/>
        </w:rPr>
        <w:t>Article type:</w:t>
      </w:r>
      <w:r>
        <w:rPr>
          <w:rFonts w:ascii="Times New Roman" w:hAnsi="Times New Roman"/>
          <w:sz w:val="21"/>
        </w:rPr>
        <w:t xml:space="preserve"> Survey article / critical narrative review (Springer-style manuscript)</w:t>
      </w:r>
    </w:p>
    <w:p>
      <w:pPr>
        <w:spacing w:line="276" w:lineRule="auto" w:after="120"/>
        <w:jc w:val="center"/>
      </w:pPr>
      <w:r>
        <w:rPr>
          <w:rFonts w:ascii="Times New Roman" w:hAnsi="Times New Roman"/>
          <w:b/>
          <w:sz w:val="21"/>
        </w:rPr>
        <w:t>Authors:</w:t>
      </w:r>
      <w:r>
        <w:rPr>
          <w:rFonts w:ascii="Times New Roman" w:hAnsi="Times New Roman"/>
          <w:sz w:val="21"/>
        </w:rPr>
        <w:t xml:space="preserve"> [Author 1, degree]¹; [Author 2, degree]²; [Author 3, degree]¹</w:t>
      </w:r>
    </w:p>
    <w:p>
      <w:pPr>
        <w:spacing w:line="276" w:lineRule="auto" w:after="120"/>
        <w:jc w:val="center"/>
      </w:pPr>
      <w:r>
        <w:rPr>
          <w:rFonts w:ascii="Times New Roman" w:hAnsi="Times New Roman"/>
          <w:b/>
          <w:sz w:val="21"/>
        </w:rPr>
        <w:t>Affiliations:</w:t>
      </w:r>
      <w:r>
        <w:rPr>
          <w:rFonts w:ascii="Times New Roman" w:hAnsi="Times New Roman"/>
          <w:sz w:val="21"/>
        </w:rPr>
        <w:t xml:space="preserve"> ¹[Department, Institution, City, Country]; ²[Department, Institution, City, Country]</w:t>
      </w:r>
    </w:p>
    <w:p>
      <w:pPr>
        <w:spacing w:line="276" w:lineRule="auto" w:after="120"/>
        <w:jc w:val="center"/>
      </w:pPr>
      <w:r>
        <w:rPr>
          <w:rFonts w:ascii="Times New Roman" w:hAnsi="Times New Roman"/>
          <w:b/>
          <w:sz w:val="21"/>
        </w:rPr>
        <w:t>ORCID:</w:t>
      </w:r>
      <w:r>
        <w:rPr>
          <w:rFonts w:ascii="Times New Roman" w:hAnsi="Times New Roman"/>
          <w:sz w:val="21"/>
        </w:rPr>
        <w:t xml:space="preserve"> [Author 1: 0000-0000-0000-0000]; [Author 2: 0000-0000-0000-0000]</w:t>
      </w:r>
    </w:p>
    <w:p>
      <w:pPr>
        <w:spacing w:line="276" w:lineRule="auto" w:after="120"/>
        <w:jc w:val="center"/>
      </w:pPr>
      <w:r>
        <w:rPr>
          <w:rFonts w:ascii="Times New Roman" w:hAnsi="Times New Roman"/>
          <w:b/>
          <w:sz w:val="21"/>
        </w:rPr>
        <w:t>Corresponding author:</w:t>
      </w:r>
      <w:r>
        <w:rPr>
          <w:rFonts w:ascii="Times New Roman" w:hAnsi="Times New Roman"/>
          <w:sz w:val="21"/>
        </w:rPr>
        <w:t xml:space="preserve"> [Name, postal address, e-mail, telephone]</w:t>
      </w:r>
    </w:p>
    <w:p>
      <w:pPr>
        <w:spacing w:line="276" w:lineRule="auto" w:after="120"/>
        <w:jc w:val="center"/>
      </w:pPr>
      <w:r>
        <w:rPr>
          <w:rFonts w:ascii="Times New Roman" w:hAnsi="Times New Roman"/>
          <w:b/>
          <w:sz w:val="21"/>
        </w:rPr>
        <w:t>Running title:</w:t>
      </w:r>
      <w:r>
        <w:rPr>
          <w:rFonts w:ascii="Times New Roman" w:hAnsi="Times New Roman"/>
          <w:sz w:val="21"/>
        </w:rPr>
        <w:t xml:space="preserve"> Artificial intelligence in multiple sclerosis MRI</w:t>
      </w:r>
    </w:p>
    <w:p>
      <w:pPr>
        <w:spacing w:line="276" w:lineRule="auto" w:after="120"/>
        <w:jc w:val="center"/>
      </w:pPr>
      <w:r>
        <w:rPr>
          <w:rFonts w:ascii="Times New Roman" w:hAnsi="Times New Roman"/>
          <w:b/>
          <w:sz w:val="21"/>
        </w:rPr>
        <w:t>Manuscript statistics:</w:t>
      </w:r>
      <w:r>
        <w:rPr>
          <w:rFonts w:ascii="Times New Roman" w:hAnsi="Times New Roman"/>
          <w:sz w:val="21"/>
        </w:rPr>
        <w:t xml:space="preserve"> 6,721; 3 tables; 4 figures</w:t>
      </w:r>
    </w:p>
    <w:p>
      <w:pPr>
        <w:spacing w:line="276" w:lineRule="auto" w:after="200" w:before="320"/>
        <w:jc w:val="center"/>
        <w:shd w:fill="F4F6F8"/>
      </w:pPr>
      <w:r>
        <w:rPr>
          <w:rFonts w:ascii="Times New Roman" w:hAnsi="Times New Roman"/>
          <w:b/>
          <w:i/>
          <w:color w:val="667085"/>
          <w:sz w:val="18"/>
        </w:rPr>
        <w:t>Draft status:</w:t>
      </w:r>
      <w:r>
        <w:rPr>
          <w:rFonts w:ascii="Times New Roman" w:hAnsi="Times New Roman"/>
          <w:i/>
          <w:color w:val="667085"/>
          <w:sz w:val="18"/>
        </w:rPr>
        <w:t xml:space="preserve"> AI-assisted Springer-style research draft—not submission-ready. Springer Nature journals use journal-specific Instructions for Authors; the target journal’s article type, word limit, reference style, figure specifications and AI policy must be verified before submission.</w:t>
      </w:r>
    </w:p>
    <w:p>
      <w:r>
        <w:br w:type="page"/>
      </w:r>
    </w:p>
    <w:p>
      <w:pPr>
        <w:pStyle w:val="Heading1"/>
      </w:pPr>
      <w:r>
        <w:rPr>
          <w:rFonts w:ascii="Times New Roman" w:hAnsi="Times New Roman"/>
          <w:sz w:val="28"/>
        </w:rPr>
        <w:t>Abstract</w:t>
      </w:r>
    </w:p>
    <w:p>
      <w:pPr/>
      <w:r>
        <w:rPr>
          <w:rFonts w:ascii="Times New Roman" w:hAnsi="Times New Roman"/>
          <w:sz w:val="22"/>
        </w:rPr>
        <w:t>Magnetic resonance imaging (MRI) is indispensable to multiple sclerosis (MS) diagnosis and monitoring, yet manual interpretation is time-consuming, variable and poorly suited to extracting the full longitudinal and quantitative signal. Artificial intelligence (AI) has therefore been applied across the imaging pathway, from reconstruction and harmonisation to lesion segmentation, biomarker detection, diagnosis and disability prediction. This survey critically synthesises work published from January 2015 to 30 June 2026, with selected earlier benchmarks and consensus statements, and organises the field by datasets, clinical tasks and maturity of evidence rather than by individual algorithms. Public MS MRI resources have enabled reproducible white-matter lesion segmentation, but remain small, brain-centred and incompletely representative of routine practice. Large trial and registry archives improve statistical power and scanner diversity while restricting independent reproduction. Across comparable settings, automated brain lesion segmentation often approaches inter-rater agreement, whereas small, cortical, enhancing and spinal lesions remain harder. Central vein sign and paramagnetic rim lesion models are promising, particularly after their incorporation into the revised diagnostic framework, but usually depend on specialised sequences, preselected lesions or limited external testing. Diagnostic and prognostic studies frequently report high discrimination; however, case–control spectrum bias, patient leakage, domain shift, absent calibration and sparse prospective validation substantially reduce clinical credibility. The strongest translation signal is for assistive longitudinal monitoring and quantitative reporting, where retrospective multi-centre and small workflow studies show improved activity detection or shorter reading time. Evidence that AI improves patient outcomes, treatment selection or cost-effectiveness is not yet established. Progress now depends less on marginal benchmark gains than on patient-level data governance, geographically independent validation, calibrated failure-aware systems, prospective human–AI studies and post-deployment monitoring.</w:t>
      </w:r>
    </w:p>
    <w:p>
      <w:pPr>
        <w:spacing w:after="120"/>
      </w:pPr>
      <w:r>
        <w:rPr>
          <w:rFonts w:ascii="Times New Roman" w:hAnsi="Times New Roman"/>
          <w:b/>
          <w:sz w:val="22"/>
        </w:rPr>
        <w:t>Keywords:</w:t>
      </w:r>
      <w:r>
        <w:rPr>
          <w:rFonts w:ascii="Times New Roman" w:hAnsi="Times New Roman"/>
          <w:sz w:val="22"/>
        </w:rPr>
        <w:t xml:space="preserve"> multiple sclerosis; magnetic resonance imaging; artificial intelligence; datasets; external validation; clinical translation</w:t>
      </w:r>
    </w:p>
    <w:p>
      <w:pPr>
        <w:pStyle w:val="Heading1"/>
      </w:pPr>
      <w:r>
        <w:rPr>
          <w:rFonts w:ascii="Times New Roman" w:hAnsi="Times New Roman"/>
          <w:sz w:val="28"/>
        </w:rPr>
        <w:t>1. Introduction</w:t>
      </w:r>
    </w:p>
    <w:p>
      <w:pPr/>
      <w:r>
        <w:rPr>
          <w:rFonts w:ascii="Times New Roman" w:hAnsi="Times New Roman"/>
          <w:sz w:val="22"/>
        </w:rPr>
        <w:t>Multiple sclerosis is a chronic inflammatory and neurodegenerative disease in which MRI supports diagnosis, assessment of dissemination in space and time, exclusion of mimics, treatment monitoring and characterisation of tissue injury. The revised diagnostic framework expands the interpretive role of imaging by recognising the optic nerve as a fifth anatomical location and by incorporating the central vein sign (CVS) and paramagnetic rim lesions (PRLs) as supportive markers under defined conditions [1]. Its accompanying MRI consensus specifies how these markers and anatomical locations should be acquired and interpreted [2]. Contemporary monitoring guidance also emphasises standardised brain and spinal cord acquisition, consistent positioning, three-dimensional fluid-attenuated inversion recovery (FLAIR) when feasible, and comparable follow-up protocols [3]. These recommendations increase the informational value of MRI but also expose a practical mismatch: clinical decisions increasingly depend on subtle, distributed and longitudinal findings, whereas routine assessment remains constrained by reader time, variable image quality and imperfect visual comparison.</w:t>
      </w:r>
    </w:p>
    <w:p>
      <w:pPr/>
      <w:r>
        <w:rPr>
          <w:rFonts w:ascii="Times New Roman" w:hAnsi="Times New Roman"/>
          <w:sz w:val="22"/>
        </w:rPr>
        <w:t>The attraction of AI is consequently broader than automated lesion outlining. Algorithms may reconstruct undersampled images, flag degraded examinations, register serial scans, synthesise missing contrasts, harmonise scanner effects, quantify tissues and lesions, recognise emerging imaging biomarkers, classify diagnoses and predict future disability. The same breadth creates a risk of conceptual conflation. A model that produces a visually plausible FLAIR image is not necessarily safe for detecting a 3-mm new lesion; a segmentation network that achieves a high Dice score on a hidden challenge set is not thereby a clinically validated monitoring tool; and a classifier that separates established MS from healthy controls does not replicate the diagnostic problem faced in an undifferentiated clinic population.</w:t>
      </w:r>
    </w:p>
    <w:p>
      <w:pPr/>
      <w:r>
        <w:rPr>
          <w:rFonts w:ascii="Times New Roman" w:hAnsi="Times New Roman"/>
          <w:sz w:val="22"/>
        </w:rPr>
        <w:t>Previous reviews have often catalogued architectures or pooled performance across heterogeneous datasets. Such summaries can obscure the properties that most strongly determine clinical value: who entered the dataset; how repeated examinations were split; which scanners and sequences were represented; how the reference standard was constructed; whether testing was truly independent; whether probabilities were calibrated; and whether output changed decisions or outcomes. Meta-analytic estimates of diagnostic sensitivity and specificity can appear impressive even when the component studies use artificially clean case–control samples, divergent thresholds and incompletely independent testing [4]. Similarly, systematic reviews of deep learning in MS MRI show rapid technical expansion but recurrent weaknesses in reporting, external validation and clinical anchoring [5].</w:t>
      </w:r>
    </w:p>
    <w:p>
      <w:pPr/>
      <w:r>
        <w:rPr>
          <w:rFonts w:ascii="Times New Roman" w:hAnsi="Times New Roman"/>
          <w:sz w:val="22"/>
        </w:rPr>
        <w:t>This survey therefore treats data realism, task definition and evidence maturity as a single evaluative chain. We ask four questions. First, do the available data represent the intended patients, examinations and clinical alternatives? Second, is technical performance assessed with metrics appropriate to lesion size, class imbalance and longitudinal use? Third, does the evidence progress from internal optimisation to independent multi-centre testing and prospective human–AI evaluation? Fourth, is there credible benefit at the level of workflow, clinical decisions, health outcomes or resource use? Our central conclusion is deliberately asymmetric: AI for lesion segmentation, quantitative analysis and longitudinal monitoring is approaching useful assistive deployment, whereas autonomous diagnosis and individualised prognosis remain predominantly at the technical-validation stage.</w:t>
      </w:r>
    </w:p>
    <w:p>
      <w:pPr>
        <w:pStyle w:val="Heading1"/>
      </w:pPr>
      <w:r>
        <w:rPr>
          <w:rFonts w:ascii="Times New Roman" w:hAnsi="Times New Roman"/>
          <w:sz w:val="28"/>
        </w:rPr>
        <w:t>2. Review methodology</w:t>
      </w:r>
    </w:p>
    <w:p>
      <w:pPr>
        <w:pStyle w:val="Heading2"/>
      </w:pPr>
      <w:r>
        <w:rPr>
          <w:rFonts w:ascii="Times New Roman" w:hAnsi="Times New Roman"/>
          <w:sz w:val="24"/>
        </w:rPr>
        <w:t>2.1 Search scope and eligibility</w:t>
      </w:r>
    </w:p>
    <w:p>
      <w:pPr/>
      <w:r>
        <w:rPr>
          <w:rFonts w:ascii="Times New Roman" w:hAnsi="Times New Roman"/>
          <w:sz w:val="22"/>
        </w:rPr>
        <w:t>We conducted a structured critical review rather than a registered systematic review. Searches covered 1 January 2015 to 30 June 2026 and were supplemented by earlier challenge reports, foundational dataset descriptors, diagnostic criteria and MRI consensus documents. Sources included PubMed/MEDLINE, public IEEE Xplore records, publisher pages, reference and citation tracking, challenge websites, dataset repositories, and public regulatory documents. Search concepts combined terms for multiple sclerosis, MRI, machine learning, deep learning, artificial intelligence, segmentation, classification, prognosis, longitudinal change, atrophy, spinal cord, cortical lesion, CVS, PRL, harmonisation, validation, workflow and regulation. English-language human MRI studies were prioritised. Studies were included when they described an MS-relevant dataset, developed or evaluated an AI-enabled imaging method, assessed reproducibility or workflow effects, or provided reporting, bias or implementation guidance applicable to medical imaging AI.</w:t>
      </w:r>
    </w:p>
    <w:p>
      <w:pPr/>
      <w:r>
        <w:rPr>
          <w:rFonts w:ascii="Times New Roman" w:hAnsi="Times New Roman"/>
          <w:sz w:val="22"/>
        </w:rPr>
        <w:t>We excluded non-imaging AI, purely simulated demonstrations without an MS-relevant downstream evaluation, unverifiable scraped image collections, conference abstracts lacking sufficient methodological detail, and papers whose test data could not be distinguished from training data. Alzheimer disease, ageing, vascular white-matter hyperintensity, stroke and tumour datasets were not treated as MS datasets, even where used for pretraining or control images. Particular attention was paid to mirrors and repackaged challenges so that the same participants were not double-counted. Because database searching and screening were not performed in duplicate and no protocol was registered, the review should not be interpreted as exhaustive or as a formal meta-analysis.</w:t>
      </w:r>
    </w:p>
    <w:p>
      <w:pPr>
        <w:pStyle w:val="Heading2"/>
      </w:pPr>
      <w:r>
        <w:rPr>
          <w:rFonts w:ascii="Times New Roman" w:hAnsi="Times New Roman"/>
          <w:sz w:val="24"/>
        </w:rPr>
        <w:t>2.2 Evidence classification and appraisal</w:t>
      </w:r>
    </w:p>
    <w:p>
      <w:pPr/>
      <w:r>
        <w:rPr>
          <w:rFonts w:ascii="Times New Roman" w:hAnsi="Times New Roman"/>
          <w:sz w:val="22"/>
        </w:rPr>
        <w:t>Evidence was grouped by task and assigned a validation level: subject-level internal cross-validation; held-out testing from the same institution or data ecosystem; leave-site-out testing within a coordinated consortium or trial; geographically and operationally independent external validation; prospective or temporally ordered workflow evaluation; and patient-outcome evaluation. We used CLAIM 2024 to examine imaging-AI reporting [6], TRIPOD+AI and PROBAST+AI to assess prediction-model transparency and risk of bias [7,8], DECIDE-AI for early live clinical evaluation [9], and FUTURE-AI for trustworthy deployment and monitoring [10]. Where randomised trials were discussed, the CONSORT-AI and SPIRIT-AI extensions informed expectations for intervention description, error handling and human interaction [11,12].</w:t>
      </w:r>
    </w:p>
    <w:p>
      <w:pPr/>
      <w:r>
        <w:rPr>
          <w:rFonts w:ascii="Times New Roman" w:hAnsi="Times New Roman"/>
          <w:sz w:val="22"/>
        </w:rPr>
        <w:t>No pooled Dice, AUC or accuracy was calculated. These measures are not exchangeable across lesion types, prevalence, annotation policies, MRI protocols, patient spectra or validation levels. Quantitative results are reported only as illustrative ranges or representative findings with their data conditions. We gave greater evidential weight to patient-level splitting, hidden or independent test sets, multi-rater reference standards, external centres, prespecified analyses, calibration, reader studies and clinically consequential endpoints. Commercial involvement was not treated as disqualifying, but was considered alongside data access, comparator choice, adjudication and reproducibility.</w:t>
      </w:r>
    </w:p>
    <w:p>
      <w:pPr>
        <w:keepNext/>
        <w:spacing w:before="120" w:after="0"/>
        <w:jc w:val="center"/>
      </w:pPr>
      <w:r>
        <w:drawing>
          <wp:inline xmlns:a="http://schemas.openxmlformats.org/drawingml/2006/main" xmlns:pic="http://schemas.openxmlformats.org/drawingml/2006/picture">
            <wp:extent cx="5688000" cy="3201201"/>
            <wp:docPr id="1" name="Picture 1" descr="A five-panel overview of MS MRI data, input integrity, AI analyses, evidence levels and clinician-verified use." title="MS MRI AI data-to-clinic evidence pathway"/>
            <wp:cNvGraphicFramePr>
              <a:graphicFrameLocks noChangeAspect="1"/>
            </wp:cNvGraphicFramePr>
            <a:graphic>
              <a:graphicData uri="http://schemas.openxmlformats.org/drawingml/2006/picture">
                <pic:pic>
                  <pic:nvPicPr>
                    <pic:cNvPr id="0" name="fig1_data_to_clinic_overview.png"/>
                    <pic:cNvPicPr/>
                  </pic:nvPicPr>
                  <pic:blipFill>
                    <a:blip r:embed="rId9"/>
                    <a:stretch>
                      <a:fillRect/>
                    </a:stretch>
                  </pic:blipFill>
                  <pic:spPr>
                    <a:xfrm>
                      <a:off x="0" y="0"/>
                      <a:ext cx="5688000" cy="3201201"/>
                    </a:xfrm>
                    <a:prstGeom prst="rect"/>
                  </pic:spPr>
                </pic:pic>
              </a:graphicData>
            </a:graphic>
          </wp:inline>
        </w:drawing>
      </w:r>
    </w:p>
    <w:p>
      <w:pPr>
        <w:pStyle w:val="Caption"/>
        <w:keepLines/>
        <w:spacing w:before="60" w:after="120" w:line="252" w:lineRule="auto"/>
        <w:jc w:val="left"/>
      </w:pPr>
      <w:r>
        <w:rPr>
          <w:rFonts w:ascii="Times New Roman" w:hAnsi="Times New Roman"/>
          <w:b/>
          <w:color w:val="243B64"/>
          <w:sz w:val="17"/>
        </w:rPr>
        <w:t>Figure 1. From MS MRI data ecosystems to clinically useful AI.</w:t>
      </w:r>
      <w:r>
        <w:rPr>
          <w:rFonts w:ascii="Times New Roman" w:hAnsi="Times New Roman"/>
          <w:sz w:val="17"/>
        </w:rPr>
        <w:t xml:space="preserve"> (A) Public benchmarks, controlled clinical-trial archives, heterogeneous hospital PACS examinations and longitudinal follow-up contribute different forms of scale, standardisation and realism. (B) Quality control, registration, missing-sequence handling, scanner harmonisation and patient-level splitting determine whether downstream evaluation is valid. (C) Task-level outputs include brain and spinal lesion segmentation, longitudinal change, CVS, PRL and regional atrophy measurement. (D) Evidence should progress from internal testing to independent multi-centre validation, prospective workflow evaluation and real-world patient net benefit. (E) Deployment is assistive: AI overlays remain subject to clinician verification and shared decision-making. The figure is an original AI-generated scientific illustration created for this survey.</w:t>
      </w:r>
    </w:p>
    <w:p>
      <w:pPr>
        <w:pStyle w:val="Heading1"/>
      </w:pPr>
      <w:r>
        <w:rPr>
          <w:rFonts w:ascii="Times New Roman" w:hAnsi="Times New Roman"/>
          <w:sz w:val="28"/>
        </w:rPr>
        <w:t>3. Data foundations: datasets, benchmarks and clinical realism</w:t>
      </w:r>
    </w:p>
    <w:p>
      <w:pPr>
        <w:pStyle w:val="Heading2"/>
      </w:pPr>
      <w:r>
        <w:rPr>
          <w:rFonts w:ascii="Times New Roman" w:hAnsi="Times New Roman"/>
          <w:sz w:val="24"/>
        </w:rPr>
        <w:t>3.1 Public challenges and open resources</w:t>
      </w:r>
    </w:p>
    <w:p>
      <w:pPr/>
      <w:r>
        <w:rPr>
          <w:rFonts w:ascii="Times New Roman" w:hAnsi="Times New Roman"/>
          <w:sz w:val="22"/>
        </w:rPr>
        <w:t>Public benchmarks made MS imaging AI measurable, but their contribution is often misread. The historical MICCAI 2008 challenge assembled 45 cross-sectional cases from two 3-T Siemens sites and standardised images through extensive resampling [13]. The ISBI 2015 longitudinal challenge contains 82 sessions but only 19 patients, all from one Johns Hopkins 3-T Philips environment; its 4–6 examinations per patient are valuable for longitudinal methods but create a severe leakage risk if scans rather than patients are randomised [14,15]. MSSEG 2016 expanded acquisition diversity to 53 patients across four scanners at three French sites and obtained seven expert delineations, with a deliberately unseen scanner in testing [16,17]. Its importance lies as much in exposing inter-rater variability as in ranking algorithms.</w:t>
      </w:r>
    </w:p>
    <w:p>
      <w:pPr/>
      <w:r>
        <w:rPr>
          <w:rFonts w:ascii="Times New Roman" w:hAnsi="Times New Roman"/>
          <w:sz w:val="22"/>
        </w:rPr>
        <w:t>MSSEG-2 reframed the target from total lesion burden to new lesions between two FLAIR examinations. It includes 100 patient pairs acquired on 15 scanners, with all GE data excluded from training, thereby creating a purposeful compound domain shift [18]. Four neuroradiologists independently marked new lesions before senior consensus. Approximately 40% of new lesions were recognised by no more than two of four experts, demonstrating that small longitudinal targets do not have a noise-free ground truth. The benchmark is clinically closer to follow-up interpretation than cross-sectional segmentation, but remains FLAIR-only and does not encode enlargement, disappearance or treatment consequences.</w:t>
      </w:r>
    </w:p>
    <w:p>
      <w:pPr/>
      <w:r>
        <w:rPr>
          <w:rFonts w:ascii="Times New Roman" w:hAnsi="Times New Roman"/>
          <w:sz w:val="22"/>
        </w:rPr>
        <w:t>Other public resources broaden geography and acquisition, although none resolves representation alone. The 3D-MR-MS set provides 30 single-site cases with T1, T2, FLAIR and post-contrast T1 plus jointly revised consensus masks [19]. Long-MR-MS adds 20 patients with one baseline–follow-up interval and labels new, disappearing, enlarging and shrinking lesions, but uses older 1.5-T, 3-mm two-dimensional imaging [20]. MSLesSeg contains 115 examinations from 75 patients across several 1.5-T systems and uses a patient-level challenge split [21]. MS-Baghdad contributes 60 routine 1.5-T examinations from 20 centres together with EDSS and lesion masks, providing valuable heterogeneity but limited protocol metadata and a mildly disabled case mix [22].</w:t>
      </w:r>
    </w:p>
    <w:p>
      <w:pPr/>
      <w:r>
        <w:rPr>
          <w:rFonts w:ascii="Times New Roman" w:hAnsi="Times New Roman"/>
          <w:sz w:val="22"/>
        </w:rPr>
        <w:t>Recent datasets illustrate both progress and continuing gaps. SibBMS includes MS or radiologically isolated syndrome cases and healthy controls, but its accessible description is internally inconsistent about how many cases have full lesion masks and about licensing; it should not be assumed that every scan is equivalently labelled [23]. MS3SEG supplies 100 routine 1.5-T cases with a mask that distinguishes MS lesions from other white-matter hyperintensities, but is single-site, excludes lesions below 3 mm and lacks longitudinal outcomes [24]. PediMS provides longitudinal paediatric MRI and clinical metadata, yet only nine patients; its best use is as a difficult out-of-distribution probe rather than as an independent training corpus [25]. Shifts 2.0 repackages ISBI, MSSEG, Ljubljana and private Lausanne data into a common uncertainty benchmark [26]. It is useful for testing domain shift, but cannot be counted as a new cohort and its out-of-domain contrast simultaneously changes centre, scanner, population, lesion burden and annotation procedure.</w:t>
      </w:r>
    </w:p>
    <w:p>
      <w:pPr/>
      <w:r>
        <w:rPr>
          <w:rFonts w:ascii="Times New Roman" w:hAnsi="Times New Roman"/>
          <w:sz w:val="22"/>
        </w:rPr>
        <w:t>The public landscape is therefore lopsided. Brain FLAIR white-matter lesion masks are far more available than expert labels for enhancing lesions, cortical lesions, CVS, PRL, atrophy, treatment response, cognition or disability progression. Dedicated spinal resources are particularly limited. A large 30-site study of 1,042 participants demonstrated robust automated cord segmentation but achieved substantially lower agreement for intramedullary MS lesions; the trained system is available through the Spinal Cord Toolbox, whereas the underlying multi-centre images are not a reusable public benchmark [27]. The controlled MS-Multi-Spine initiative is a welcome response, but public protocol records do not yet offer the documentation and open images available for established brain challenges. Dataset availability has consequently shaped the apparent maturity of tasks: the best benchmarked problem is not necessarily the most clinically important problem.</w:t>
      </w:r>
    </w:p>
    <w:p>
      <w:pPr>
        <w:sectPr>
          <w:footerReference w:type="default" r:id="rId13"/>
          <w:headerReference w:type="default" r:id="rId14"/>
          <w:pgSz w:w="11906" w:h="16838"/>
          <w:pgMar w:top="1440" w:right="1440" w:bottom="1440" w:left="1440" w:header="709" w:footer="709" w:gutter="0"/>
          <w:cols w:space="720"/>
          <w:titlePg/>
          <w:docGrid w:linePitch="360"/>
        </w:sectPr>
      </w:pPr>
    </w:p>
    <w:p>
      <w:pPr>
        <w:keepNext/>
        <w:spacing w:after="100" w:line="240" w:lineRule="auto"/>
      </w:pPr>
      <w:r>
        <w:rPr>
          <w:rFonts w:ascii="Times New Roman" w:hAnsi="Times New Roman"/>
          <w:b/>
          <w:color w:val="000000"/>
          <w:sz w:val="21"/>
        </w:rPr>
        <w:t>Table 1. MS MRI datasets and benchmark characteristics</w:t>
      </w:r>
    </w:p>
    <w:tbl>
      <w:tblPr>
        <w:tblStyle w:val="TableGrid"/>
        <w:tblW w:type="auto" w:w="0"/>
        <w:jc w:val="center"/>
        <w:tblLayout w:type="fixed"/>
        <w:tblLook w:firstColumn="1" w:firstRow="1" w:lastColumn="0" w:lastRow="0" w:noHBand="0" w:noVBand="1" w:val="04A0"/>
      </w:tblPr>
      <w:tblGrid>
        <w:gridCol w:w="1551"/>
        <w:gridCol w:w="1551"/>
        <w:gridCol w:w="1551"/>
        <w:gridCol w:w="1551"/>
        <w:gridCol w:w="1551"/>
        <w:gridCol w:w="1551"/>
        <w:gridCol w:w="1551"/>
        <w:gridCol w:w="1551"/>
        <w:gridCol w:w="1551"/>
      </w:tblGrid>
      <w:tr>
        <w:trPr>
          <w:tblHeader w:val="true"/>
          <w:cantSplit/>
        </w:trPr>
        <w:tc>
          <w:tcPr>
            <w:tcW w:type="dxa" w:w="1247"/>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Resource</w:t>
            </w:r>
          </w:p>
        </w:tc>
        <w:tc>
          <w:tcPr>
            <w:tcW w:type="dxa" w:w="1020"/>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People / sessions</w:t>
            </w:r>
          </w:p>
        </w:tc>
        <w:tc>
          <w:tcPr>
            <w:tcW w:type="dxa" w:w="1701"/>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Primary task and labels</w:t>
            </w:r>
          </w:p>
        </w:tc>
        <w:tc>
          <w:tcPr>
            <w:tcW w:type="dxa" w:w="1417"/>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MRI</w:t>
            </w:r>
          </w:p>
        </w:tc>
        <w:tc>
          <w:tcPr>
            <w:tcW w:type="dxa" w:w="1474"/>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Centres / scanners</w:t>
            </w:r>
          </w:p>
        </w:tc>
        <w:tc>
          <w:tcPr>
            <w:tcW w:type="dxa" w:w="1077"/>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Longitudinal</w:t>
            </w:r>
          </w:p>
        </w:tc>
        <w:tc>
          <w:tcPr>
            <w:tcW w:type="dxa" w:w="1531"/>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Annotation</w:t>
            </w:r>
          </w:p>
        </w:tc>
        <w:tc>
          <w:tcPr>
            <w:tcW w:type="dxa" w:w="1134"/>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Access</w:t>
            </w:r>
          </w:p>
        </w:tc>
        <w:tc>
          <w:tcPr>
            <w:tcW w:type="dxa" w:w="2268"/>
            <w:vAlign w:val="center"/>
            <w:shd w:fill="EAF0F7"/>
            <w:tcMar>
              <w:top w:w="32" w:type="dxa"/>
              <w:start w:w="65" w:type="dxa"/>
              <w:bottom w:w="32" w:type="dxa"/>
              <w:end w:w="65" w:type="dxa"/>
            </w:tcMar>
          </w:tcPr>
          <w:p>
            <w:pPr>
              <w:spacing w:line="240" w:lineRule="auto" w:after="0"/>
              <w:jc w:val="left"/>
            </w:pPr>
            <w:r>
              <w:rPr>
                <w:rFonts w:ascii="Times New Roman" w:hAnsi="Times New Roman"/>
                <w:b/>
                <w:color w:val="000000"/>
                <w:sz w:val="13"/>
              </w:rPr>
              <w:t>Principal limitation</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ISBI 2015</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19 / 82</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WM lesion segmentation; hidden test masks</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T1, PD/T2, 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1 site; 3 T Philips</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4–6 visits</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2 raters per session</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Registered public challenge</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Scan count obscures n=19; single scanner; high time-point leakage risk</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MSSEG 2016</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53 / 53</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Cross-sectional WM lesions</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3D FLAIR, T1±Gd, PD/T2</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3 sites; 4 scanners; 1.5/3 T</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No</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7 experts; LOP-STAPLE</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Controlled request; hidden test</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Only 15 labelled training cases; small unseen-scanner subset</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MSSEG-2</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100 / 200</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New-lesion segmentation between paired FLAIR</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3D 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15 scanners; 1.5/3 T; 3 vendors</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2 visits, 1–3 y</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4 readers plus senior consensus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Controlled challenge; hidden test</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FLAIR-only; vendor/site/label shifts entangled; 40% low-agreement lesions</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3D-MR-MS</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30 / 30</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Cross-sectional lesion masks</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T1, T2, FLAIR, post-Gd T1</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1 site; 3 T Siemens</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No</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3 experts; joint revision</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Public</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Small, single scanner; not all source contrasts native isotropic</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Long-MR-MS</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20 / 40</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New, disappearing, enlarging, shrinking lesions</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2D T1, T2, 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1 site; 1.5 T Philips</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2 visits</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2 experts; consensus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Public</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One interval per patient; 3-mm slices; labels depend on registration</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MSLesSeg</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75 / 115</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WM lesion segmentation</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T1, T2, FLAIR</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Several hospitals; ~3 1.5 T systems</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1–4 visits</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Two-reader workflow plus senior validation</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CC BY 4.0</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Most participants and all test cases have one time point</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MS-Baghdad</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60 / 60</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Lesion masks plus EDSS</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Routine T1, T2, 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20 centres; 1.5 T</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No</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3 radiology/neurology experts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Public</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Thick-slice heterogeneity; limited protocol metadata; mildly disabled sample</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SibBMS</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193 / 193</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MS/RIS and healthy controls; partial lesion labels</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T1, T2, FLAIR; post-Gd T1 in patients</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Single region; scanner incompletely reported</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No</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Primary description inconsistent about mask coverage</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Downloadable; licence wording unclear</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MS/RIS pooled; control-source shortcuts; annotation and licence ambiguity</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MS3SEG</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100 / 100</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MS lesions vs other WMH</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2D T1, T2, axial/sagittal 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1 site; 1.5 T Toshiba/Canon</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No</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Junior–senior consensus; ≥3-mm lesions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CC BY 4.0</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Single scanner; excludes sub-3-mm lesions; no outcomes</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PediMS</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9 / 28</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Paediatric lesions and clinical follow-up</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T1, T2, FLAIR</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One dominant 3 T Siemens site</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1–6 visits</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Junior rater plus specialist validation</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CC BY</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Extremely small; irregular intervals; best suited to OOD testing</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Shifts 2.0</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172 scan samples</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Uncertainty under distribution shift</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Common preprocessed T1/FLAIR</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Repackages public sets plus private Lausanne</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Mixed</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Source-dataset references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Public parts; private evaluation server</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Not an independent cohort; compound population/scanner/label shift</w:t>
            </w:r>
          </w:p>
        </w:tc>
      </w:tr>
      <w:tr>
        <w:trPr>
          <w:cantSplit/>
        </w:trPr>
        <w:tc>
          <w:tcPr>
            <w:tcW w:type="dxa" w:w="1247"/>
            <w:vAlign w:val="center"/>
            <w:shd w:fill="F4F6F8"/>
            <w:tcMar>
              <w:top w:w="32" w:type="dxa"/>
              <w:start w:w="65" w:type="dxa"/>
              <w:bottom w:w="32" w:type="dxa"/>
              <w:end w:w="65" w:type="dxa"/>
            </w:tcMar>
          </w:tcPr>
          <w:p>
            <w:pPr>
              <w:spacing w:line="240" w:lineRule="auto" w:after="0"/>
            </w:pPr>
            <w:r>
              <w:rPr>
                <w:rFonts w:ascii="Times New Roman" w:hAnsi="Times New Roman"/>
                <w:sz w:val="12"/>
              </w:rPr>
              <w:t>MS PATHS</w:t>
            </w:r>
          </w:p>
        </w:tc>
        <w:tc>
          <w:tcPr>
            <w:tcW w:type="dxa" w:w="1020"/>
            <w:vAlign w:val="center"/>
            <w:shd w:fill="F4F6F8"/>
            <w:tcMar>
              <w:top w:w="32" w:type="dxa"/>
              <w:start w:w="65" w:type="dxa"/>
              <w:bottom w:w="32" w:type="dxa"/>
              <w:end w:w="65" w:type="dxa"/>
            </w:tcMar>
          </w:tcPr>
          <w:p>
            <w:pPr>
              <w:spacing w:line="240" w:lineRule="auto" w:after="0"/>
            </w:pPr>
            <w:r>
              <w:rPr>
                <w:rFonts w:ascii="Times New Roman" w:hAnsi="Times New Roman"/>
                <w:sz w:val="12"/>
              </w:rPr>
              <w:t>16,568 enrolled; 14,414 MRI studies</w:t>
            </w:r>
          </w:p>
        </w:tc>
        <w:tc>
          <w:tcPr>
            <w:tcW w:type="dxa" w:w="1701"/>
            <w:vAlign w:val="center"/>
            <w:shd w:fill="F4F6F8"/>
            <w:tcMar>
              <w:top w:w="32" w:type="dxa"/>
              <w:start w:w="65" w:type="dxa"/>
              <w:bottom w:w="32" w:type="dxa"/>
              <w:end w:w="65" w:type="dxa"/>
            </w:tcMar>
          </w:tcPr>
          <w:p>
            <w:pPr>
              <w:spacing w:line="240" w:lineRule="auto" w:after="0"/>
            </w:pPr>
            <w:r>
              <w:rPr>
                <w:rFonts w:ascii="Times New Roman" w:hAnsi="Times New Roman"/>
                <w:sz w:val="12"/>
              </w:rPr>
              <w:t>Standardised quantitative MRI plus clinical outcomes</w:t>
            </w:r>
          </w:p>
        </w:tc>
        <w:tc>
          <w:tcPr>
            <w:tcW w:type="dxa" w:w="1417"/>
            <w:vAlign w:val="center"/>
            <w:shd w:fill="F4F6F8"/>
            <w:tcMar>
              <w:top w:w="32" w:type="dxa"/>
              <w:start w:w="65" w:type="dxa"/>
              <w:bottom w:w="32" w:type="dxa"/>
              <w:end w:w="65" w:type="dxa"/>
            </w:tcMar>
          </w:tcPr>
          <w:p>
            <w:pPr>
              <w:spacing w:line="240" w:lineRule="auto" w:after="0"/>
            </w:pPr>
            <w:r>
              <w:rPr>
                <w:rFonts w:ascii="Times New Roman" w:hAnsi="Times New Roman"/>
                <w:sz w:val="12"/>
              </w:rPr>
              <w:t>3D MPRAGE + SPACE-FLAIR</w:t>
            </w:r>
          </w:p>
        </w:tc>
        <w:tc>
          <w:tcPr>
            <w:tcW w:type="dxa" w:w="1474"/>
            <w:vAlign w:val="center"/>
            <w:shd w:fill="F4F6F8"/>
            <w:tcMar>
              <w:top w:w="32" w:type="dxa"/>
              <w:start w:w="65" w:type="dxa"/>
              <w:bottom w:w="32" w:type="dxa"/>
              <w:end w:w="65" w:type="dxa"/>
            </w:tcMar>
          </w:tcPr>
          <w:p>
            <w:pPr>
              <w:spacing w:line="240" w:lineRule="auto" w:after="0"/>
            </w:pPr>
            <w:r>
              <w:rPr>
                <w:rFonts w:ascii="Times New Roman" w:hAnsi="Times New Roman"/>
                <w:sz w:val="12"/>
              </w:rPr>
              <w:t>10 institutions; Siemens 3 T</w:t>
            </w:r>
          </w:p>
        </w:tc>
        <w:tc>
          <w:tcPr>
            <w:tcW w:type="dxa" w:w="1077"/>
            <w:vAlign w:val="center"/>
            <w:shd w:fill="F4F6F8"/>
            <w:tcMar>
              <w:top w:w="32" w:type="dxa"/>
              <w:start w:w="65" w:type="dxa"/>
              <w:bottom w:w="32" w:type="dxa"/>
              <w:end w:w="65" w:type="dxa"/>
            </w:tcMar>
          </w:tcPr>
          <w:p>
            <w:pPr>
              <w:spacing w:line="240" w:lineRule="auto" w:after="0"/>
            </w:pPr>
            <w:r>
              <w:rPr>
                <w:rFonts w:ascii="Times New Roman" w:hAnsi="Times New Roman"/>
                <w:sz w:val="12"/>
              </w:rPr>
              <w:t>3,822 with repeat MRI</w:t>
            </w:r>
          </w:p>
        </w:tc>
        <w:tc>
          <w:tcPr>
            <w:tcW w:type="dxa" w:w="1531"/>
            <w:vAlign w:val="center"/>
            <w:shd w:fill="F4F6F8"/>
            <w:tcMar>
              <w:top w:w="32" w:type="dxa"/>
              <w:start w:w="65" w:type="dxa"/>
              <w:bottom w:w="32" w:type="dxa"/>
              <w:end w:w="65" w:type="dxa"/>
            </w:tcMar>
          </w:tcPr>
          <w:p>
            <w:pPr>
              <w:spacing w:line="240" w:lineRule="auto" w:after="0"/>
            </w:pPr>
            <w:r>
              <w:rPr>
                <w:rFonts w:ascii="Times New Roman" w:hAnsi="Times New Roman"/>
                <w:sz w:val="12"/>
              </w:rPr>
              <w:t>No dense voxel masks at scale</w:t>
            </w:r>
          </w:p>
        </w:tc>
        <w:tc>
          <w:tcPr>
            <w:tcW w:type="dxa" w:w="1134"/>
            <w:vAlign w:val="center"/>
            <w:shd w:fill="F4F6F8"/>
            <w:tcMar>
              <w:top w:w="32" w:type="dxa"/>
              <w:start w:w="65" w:type="dxa"/>
              <w:bottom w:w="32" w:type="dxa"/>
              <w:end w:w="65" w:type="dxa"/>
            </w:tcMar>
          </w:tcPr>
          <w:p>
            <w:pPr>
              <w:spacing w:line="240" w:lineRule="auto" w:after="0"/>
            </w:pPr>
            <w:r>
              <w:rPr>
                <w:rFonts w:ascii="Times New Roman" w:hAnsi="Times New Roman"/>
                <w:sz w:val="12"/>
              </w:rPr>
              <w:t>Controlled collaboration</w:t>
            </w:r>
          </w:p>
        </w:tc>
        <w:tc>
          <w:tcPr>
            <w:tcW w:type="dxa" w:w="2268"/>
            <w:vAlign w:val="center"/>
            <w:shd w:fill="F4F6F8"/>
            <w:tcMar>
              <w:top w:w="32" w:type="dxa"/>
              <w:start w:w="65" w:type="dxa"/>
              <w:bottom w:w="32" w:type="dxa"/>
              <w:end w:w="65" w:type="dxa"/>
            </w:tcMar>
          </w:tcPr>
          <w:p>
            <w:pPr>
              <w:spacing w:line="240" w:lineRule="auto" w:after="0"/>
            </w:pPr>
            <w:r>
              <w:rPr>
                <w:rFonts w:ascii="Times New Roman" w:hAnsi="Times New Roman"/>
                <w:sz w:val="12"/>
              </w:rPr>
              <w:t>Vendor-specific standardisation; care-driven follow-up; industry involvement</w:t>
            </w:r>
          </w:p>
        </w:tc>
      </w:tr>
      <w:tr>
        <w:trPr>
          <w:cantSplit/>
        </w:trPr>
        <w:tc>
          <w:tcPr>
            <w:tcW w:type="dxa" w:w="1247"/>
            <w:vAlign w:val="center"/>
            <w:shd w:fill="FFFFFF"/>
            <w:tcMar>
              <w:top w:w="32" w:type="dxa"/>
              <w:start w:w="65" w:type="dxa"/>
              <w:bottom w:w="32" w:type="dxa"/>
              <w:end w:w="65" w:type="dxa"/>
            </w:tcMar>
          </w:tcPr>
          <w:p>
            <w:pPr>
              <w:spacing w:line="240" w:lineRule="auto" w:after="0"/>
            </w:pPr>
            <w:r>
              <w:rPr>
                <w:rFonts w:ascii="Times New Roman" w:hAnsi="Times New Roman"/>
                <w:sz w:val="12"/>
              </w:rPr>
              <w:t>MindGlide trial ecosystem</w:t>
            </w:r>
          </w:p>
        </w:tc>
        <w:tc>
          <w:tcPr>
            <w:tcW w:type="dxa" w:w="1020"/>
            <w:vAlign w:val="center"/>
            <w:shd w:fill="FFFFFF"/>
            <w:tcMar>
              <w:top w:w="32" w:type="dxa"/>
              <w:start w:w="65" w:type="dxa"/>
              <w:bottom w:w="32" w:type="dxa"/>
              <w:end w:w="65" w:type="dxa"/>
            </w:tcMar>
          </w:tcPr>
          <w:p>
            <w:pPr>
              <w:spacing w:line="240" w:lineRule="auto" w:after="0"/>
            </w:pPr>
            <w:r>
              <w:rPr>
                <w:rFonts w:ascii="Times New Roman" w:hAnsi="Times New Roman"/>
                <w:sz w:val="12"/>
              </w:rPr>
              <w:t>Train 2,871 / 4,247; external 1,001 / 14,952</w:t>
            </w:r>
          </w:p>
        </w:tc>
        <w:tc>
          <w:tcPr>
            <w:tcW w:type="dxa" w:w="1701"/>
            <w:vAlign w:val="center"/>
            <w:shd w:fill="FFFFFF"/>
            <w:tcMar>
              <w:top w:w="32" w:type="dxa"/>
              <w:start w:w="65" w:type="dxa"/>
              <w:bottom w:w="32" w:type="dxa"/>
              <w:end w:w="65" w:type="dxa"/>
            </w:tcMar>
          </w:tcPr>
          <w:p>
            <w:pPr>
              <w:spacing w:line="240" w:lineRule="auto" w:after="0"/>
            </w:pPr>
            <w:r>
              <w:rPr>
                <w:rFonts w:ascii="Times New Roman" w:hAnsi="Times New Roman"/>
                <w:sz w:val="12"/>
              </w:rPr>
              <w:t>Tissue/lesion segmentation; longitudinal trial analyses</w:t>
            </w:r>
          </w:p>
        </w:tc>
        <w:tc>
          <w:tcPr>
            <w:tcW w:type="dxa" w:w="1417"/>
            <w:vAlign w:val="center"/>
            <w:shd w:fill="FFFFFF"/>
            <w:tcMar>
              <w:top w:w="32" w:type="dxa"/>
              <w:start w:w="65" w:type="dxa"/>
              <w:bottom w:w="32" w:type="dxa"/>
              <w:end w:w="65" w:type="dxa"/>
            </w:tcMar>
          </w:tcPr>
          <w:p>
            <w:pPr>
              <w:spacing w:line="240" w:lineRule="auto" w:after="0"/>
            </w:pPr>
            <w:r>
              <w:rPr>
                <w:rFonts w:ascii="Times New Roman" w:hAnsi="Times New Roman"/>
                <w:sz w:val="12"/>
              </w:rPr>
              <w:t>Mixed legacy clinical/trial contrasts</w:t>
            </w:r>
          </w:p>
        </w:tc>
        <w:tc>
          <w:tcPr>
            <w:tcW w:type="dxa" w:w="1474"/>
            <w:vAlign w:val="center"/>
            <w:shd w:fill="FFFFFF"/>
            <w:tcMar>
              <w:top w:w="32" w:type="dxa"/>
              <w:start w:w="65" w:type="dxa"/>
              <w:bottom w:w="32" w:type="dxa"/>
              <w:end w:w="65" w:type="dxa"/>
            </w:tcMar>
          </w:tcPr>
          <w:p>
            <w:pPr>
              <w:spacing w:line="240" w:lineRule="auto" w:after="0"/>
            </w:pPr>
            <w:r>
              <w:rPr>
                <w:rFonts w:ascii="Times New Roman" w:hAnsi="Times New Roman"/>
                <w:sz w:val="12"/>
              </w:rPr>
              <w:t>592 training scanners; multiple trials/cohorts</w:t>
            </w:r>
          </w:p>
        </w:tc>
        <w:tc>
          <w:tcPr>
            <w:tcW w:type="dxa" w:w="1077"/>
            <w:vAlign w:val="center"/>
            <w:shd w:fill="FFFFFF"/>
            <w:tcMar>
              <w:top w:w="32" w:type="dxa"/>
              <w:start w:w="65" w:type="dxa"/>
              <w:bottom w:w="32" w:type="dxa"/>
              <w:end w:w="65" w:type="dxa"/>
            </w:tcMar>
          </w:tcPr>
          <w:p>
            <w:pPr>
              <w:spacing w:line="240" w:lineRule="auto" w:after="0"/>
            </w:pPr>
            <w:r>
              <w:rPr>
                <w:rFonts w:ascii="Times New Roman" w:hAnsi="Times New Roman"/>
                <w:sz w:val="12"/>
              </w:rPr>
              <w:t>Extensive</w:t>
            </w:r>
          </w:p>
        </w:tc>
        <w:tc>
          <w:tcPr>
            <w:tcW w:type="dxa" w:w="1531"/>
            <w:vAlign w:val="center"/>
            <w:shd w:fill="FFFFFF"/>
            <w:tcMar>
              <w:top w:w="32" w:type="dxa"/>
              <w:start w:w="65" w:type="dxa"/>
              <w:bottom w:w="32" w:type="dxa"/>
              <w:end w:w="65" w:type="dxa"/>
            </w:tcMar>
          </w:tcPr>
          <w:p>
            <w:pPr>
              <w:spacing w:line="240" w:lineRule="auto" w:after="0"/>
            </w:pPr>
            <w:r>
              <w:rPr>
                <w:rFonts w:ascii="Times New Roman" w:hAnsi="Times New Roman"/>
                <w:sz w:val="12"/>
              </w:rPr>
              <w:t>Trial/cohort-derived labels</w:t>
            </w:r>
          </w:p>
        </w:tc>
        <w:tc>
          <w:tcPr>
            <w:tcW w:type="dxa" w:w="1134"/>
            <w:vAlign w:val="center"/>
            <w:shd w:fill="FFFFFF"/>
            <w:tcMar>
              <w:top w:w="32" w:type="dxa"/>
              <w:start w:w="65" w:type="dxa"/>
              <w:bottom w:w="32" w:type="dxa"/>
              <w:end w:w="65" w:type="dxa"/>
            </w:tcMar>
          </w:tcPr>
          <w:p>
            <w:pPr>
              <w:spacing w:line="240" w:lineRule="auto" w:after="0"/>
            </w:pPr>
            <w:r>
              <w:rPr>
                <w:rFonts w:ascii="Times New Roman" w:hAnsi="Times New Roman"/>
                <w:sz w:val="12"/>
              </w:rPr>
              <w:t>Mostly proprietary</w:t>
            </w:r>
          </w:p>
        </w:tc>
        <w:tc>
          <w:tcPr>
            <w:tcW w:type="dxa" w:w="2268"/>
            <w:vAlign w:val="center"/>
            <w:shd w:fill="FFFFFF"/>
            <w:tcMar>
              <w:top w:w="32" w:type="dxa"/>
              <w:start w:w="65" w:type="dxa"/>
              <w:bottom w:w="32" w:type="dxa"/>
              <w:end w:w="65" w:type="dxa"/>
            </w:tcMar>
          </w:tcPr>
          <w:p>
            <w:pPr>
              <w:spacing w:line="240" w:lineRule="auto" w:after="0"/>
            </w:pPr>
            <w:r>
              <w:rPr>
                <w:rFonts w:ascii="Times New Roman" w:hAnsi="Times New Roman"/>
                <w:sz w:val="12"/>
              </w:rPr>
              <w:t>Large and heterogeneous, but composition and labels limit independent reproduction</w:t>
            </w:r>
          </w:p>
        </w:tc>
      </w:tr>
    </w:tbl>
    <w:p>
      <w:pPr>
        <w:spacing w:before="80" w:after="0" w:line="240" w:lineRule="auto"/>
      </w:pPr>
      <w:r>
        <w:rPr>
          <w:rFonts w:ascii="Times New Roman" w:hAnsi="Times New Roman"/>
          <w:b/>
          <w:sz w:val="13"/>
        </w:rPr>
        <w:t xml:space="preserve">Note: </w:t>
      </w:r>
      <w:r>
        <w:rPr>
          <w:rFonts w:ascii="Times New Roman" w:hAnsi="Times New Roman"/>
          <w:sz w:val="13"/>
        </w:rPr>
        <w:t>People and imaging sessions are separated because repeat examinations are not independent. WM, white matter; Gd, gadolinium; RIS, radiologically isolated syndrome; OOD, out-of-distribution. Counts are tied to the cited descriptors and should not be summed across repackaged datasets.</w:t>
      </w:r>
    </w:p>
    <w:p>
      <w:pPr>
        <w:sectPr>
          <w:pgSz w:w="16838" w:h="11906" w:orient="landscape"/>
          <w:pgMar w:top="1440" w:right="1440" w:bottom="1440" w:left="1440" w:header="709" w:footer="709" w:gutter="0"/>
          <w:cols w:space="720"/>
          <w:titlePg/>
          <w:docGrid w:linePitch="360"/>
        </w:sectPr>
      </w:pPr>
    </w:p>
    <w:p>
      <w:pPr>
        <w:pStyle w:val="Heading2"/>
      </w:pPr>
      <w:r>
        <w:rPr>
          <w:rFonts w:ascii="Times New Roman" w:hAnsi="Times New Roman"/>
          <w:sz w:val="24"/>
        </w:rPr>
        <w:t>3.2 Controlled cohorts, clinical trials and routine-care archives</w:t>
      </w:r>
    </w:p>
    <w:p>
      <w:pPr/>
      <w:r>
        <w:rPr>
          <w:rFonts w:ascii="Times New Roman" w:hAnsi="Times New Roman"/>
          <w:sz w:val="22"/>
        </w:rPr>
        <w:t>Request-access cohorts provide a different type of realism. The Swiss Multiple Sclerosis Cohort established prospective clinical and radiological follow-up across seven centres with central quality control, although imaging can remain care-driven and protocol substitutions occur [28]. OFSEP links nationwide French clinical, biological and MRI data through a network of specialist centres and Shanoir infrastructure, offering scale and routine variation but also missingness, protocol drift and centre- or treatment-dependent selection [29]. MS PATHS combines standardised 3-T MRI with patient-reported and performance outcomes across ten institutions; by its initial report it had more than 16,000 enrollees and over 14,000 MRI studies, yet its streamlined acquisition was Siemens-specific and its scale does not imply dense manual voxel annotation [30]. The NAIMS 7-T repository pools 528 scans from 350 people across five institutions, enabling study of cortical and chronic active lesions but reflecting a selected research population and specialised high-field protocols [31].</w:t>
      </w:r>
    </w:p>
    <w:p>
      <w:pPr/>
      <w:r>
        <w:rPr>
          <w:rFonts w:ascii="Times New Roman" w:hAnsi="Times New Roman"/>
          <w:sz w:val="22"/>
        </w:rPr>
        <w:t>Clinical-trial archives can contain thousands of serial scans, rigorous visit schedules and treatment assignments. MindGlide, for example, was trained on 4,247 scans from 2,871 patients acquired on 592 scanners across trials and a cohort, and evaluated on 14,952 scans from 1,001 people in independent trials and paediatric routine care [32]. Such scale supports rare acquisition conditions, longitudinal consistency and recovery of group-level treatment effects. It does not automatically permit independent replication: trial composition, labels and preprocessing are often proprietary, and participants are selected by eligibility criteria that narrow comorbidity, disease stage and adherence. A model can therefore be internally robust within the clinical-trial ecosystem while remaining uncertain in emergency, community, low-resource or highly comorbid populations.</w:t>
      </w:r>
    </w:p>
    <w:p>
      <w:pPr/>
      <w:r>
        <w:rPr>
          <w:rFonts w:ascii="Times New Roman" w:hAnsi="Times New Roman"/>
          <w:sz w:val="22"/>
        </w:rPr>
        <w:t>Routine PACS archives reverse this trade-off. They contain motion, incomplete protocols, thick slices, scanner upgrades, unconventional positioning and undocumented clinical decisions—precisely the variation a deployed tool will encounter. They also contain informative missingness and correlated care processes: the sequence ordered, contrast administered and frequency of follow-up may reflect a clinician's prior belief about activity. Without careful design, an algorithm can exploit these process signatures instead of disease biology. De-identification can remove dates needed for longitudinal reasoning; repeated examinations can leak across partitions; and reports used as labels can reproduce reader error. A realistic dataset is therefore not simply a large dataset. It is one whose sampling, missingness, labels and intended use are explicit enough to support a defensible target population and evaluation.</w:t>
      </w:r>
    </w:p>
    <w:p>
      <w:pPr/>
      <w:r>
        <w:rPr>
          <w:rFonts w:ascii="Times New Roman" w:hAnsi="Times New Roman"/>
          <w:sz w:val="22"/>
        </w:rPr>
        <w:t>Figure 2 locates these resources along dimensions that are often collapsed into a single sample-size claim. Open benchmarks maximise comparability but usually occupy a narrow acquisition domain; controlled cohorts add scale and longitudinal depth; routine archives add operational realism at the cost of incomplete metadata and noisier reference standards. The resulting design problem is not to select one “best” source, but to combine complementary sources while preserving patient-level independence and documenting anatomy, temporal depth, sequences and annotation.</w:t>
      </w:r>
    </w:p>
    <w:p>
      <w:pPr>
        <w:keepNext/>
        <w:spacing w:before="120" w:after="0"/>
        <w:jc w:val="center"/>
      </w:pPr>
      <w:r>
        <w:drawing>
          <wp:inline xmlns:a="http://schemas.openxmlformats.org/drawingml/2006/main" xmlns:pic="http://schemas.openxmlformats.org/drawingml/2006/picture">
            <wp:extent cx="5688000" cy="3201201"/>
            <wp:docPr id="2" name="Picture 2" descr="Four panels compare open benchmarks, controlled cohorts, clinical realism and longitudinal depth, and data-integrity dimensions." title="MS MRI dataset landscape"/>
            <wp:cNvGraphicFramePr>
              <a:graphicFrameLocks noChangeAspect="1"/>
            </wp:cNvGraphicFramePr>
            <a:graphic>
              <a:graphicData uri="http://schemas.openxmlformats.org/drawingml/2006/picture">
                <pic:pic>
                  <pic:nvPicPr>
                    <pic:cNvPr id="0" name="fig2_ms_mri_dataset_landscape.png"/>
                    <pic:cNvPicPr/>
                  </pic:nvPicPr>
                  <pic:blipFill>
                    <a:blip r:embed="rId10"/>
                    <a:stretch>
                      <a:fillRect/>
                    </a:stretch>
                  </pic:blipFill>
                  <pic:spPr>
                    <a:xfrm>
                      <a:off x="0" y="0"/>
                      <a:ext cx="5688000" cy="3201201"/>
                    </a:xfrm>
                    <a:prstGeom prst="rect"/>
                  </pic:spPr>
                </pic:pic>
              </a:graphicData>
            </a:graphic>
          </wp:inline>
        </w:drawing>
      </w:r>
    </w:p>
    <w:p>
      <w:pPr>
        <w:pStyle w:val="Caption"/>
        <w:keepLines/>
        <w:spacing w:before="60" w:after="120" w:line="252" w:lineRule="auto"/>
        <w:jc w:val="left"/>
      </w:pPr>
      <w:r>
        <w:rPr>
          <w:rFonts w:ascii="Times New Roman" w:hAnsi="Times New Roman"/>
          <w:b/>
          <w:color w:val="243B64"/>
          <w:sz w:val="17"/>
        </w:rPr>
        <w:t>Figure 2. Dataset scale, access and realism are complementary rather than interchangeable.</w:t>
      </w:r>
      <w:r>
        <w:rPr>
          <w:rFonts w:ascii="Times New Roman" w:hAnsi="Times New Roman"/>
          <w:sz w:val="17"/>
        </w:rPr>
        <w:t xml:space="preserve"> (A) Open benchmarks support transparent comparison but commonly contain relatively small, highly curated cohorts. (B) Controlled clinical-trial and registry collections add multicentre and longitudinal depth while limiting unrestricted reproduction. (C) Clinical realism and longitudinal depth vary independently, so sample size alone does not define fitness for deployment. (D) Data integrity depends on anatomy, temporal scope, sequence coverage and annotation strategy; repeated visits must remain grouped by patient. The figure is an original AI-generated scientific illustration created for this survey and is conceptual rather than a quantitative map of named datasets.</w:t>
      </w:r>
    </w:p>
    <w:p>
      <w:pPr>
        <w:pStyle w:val="Heading2"/>
      </w:pPr>
      <w:r>
        <w:rPr>
          <w:rFonts w:ascii="Times New Roman" w:hAnsi="Times New Roman"/>
          <w:sz w:val="24"/>
        </w:rPr>
        <w:t>3.3 Annotation, leakage and hidden shortcuts</w:t>
      </w:r>
    </w:p>
    <w:p>
      <w:pPr/>
      <w:r>
        <w:rPr>
          <w:rFonts w:ascii="Times New Roman" w:hAnsi="Times New Roman"/>
          <w:sz w:val="22"/>
        </w:rPr>
        <w:t>Expert annotation should be treated as a measurement process, not as ground truth delivered without error. Lesion boundaries vary with windowing, slice thickness, registration and rules for punctate or confluent abnormalities. Consensus methods can improve stability but also hide disagreement. In MSSEG, performance depends on which expert or fused reference is used; in MSSEG-2, disagreement is concentrated in the small lesions that matter for activity classification. Reported Dice should therefore be accompanied by lesion-wise sensitivity and precision, false-positive lesions per scan, volume bias, size-stratified results and performance in cases with no activity. For longitudinal tools, a patient-level category such as no, few or several new lesions can sometimes align better with the clinical decision than subvoxel overlap.</w:t>
      </w:r>
    </w:p>
    <w:p>
      <w:pPr/>
      <w:r>
        <w:rPr>
          <w:rFonts w:ascii="Times New Roman" w:hAnsi="Times New Roman"/>
          <w:sz w:val="22"/>
        </w:rPr>
        <w:t>Patient-level splitting is non-negotiable. When serial scans of the same individual enter training and testing, a model can recognise anatomy, lesion topology, acquisition settings and preprocessing artefacts. The same principle applies to patch extraction: random patches from one volume are not independent observations. Centre-level separation is stronger, but “leave-one-centre-out” within a centrally coordinated trial still shares eligibility, protocol, preprocessing and label governance. We therefore distinguish it from geographically and operationally independent testing. Scanner diversity likewise should not be reduced to a count; vendor, field strength, coil, reconstruction software, sequence parameters and patient population need to be disentangled or at least documented.</w:t>
      </w:r>
    </w:p>
    <w:p>
      <w:pPr/>
      <w:r>
        <w:rPr>
          <w:rFonts w:ascii="Times New Roman" w:hAnsi="Times New Roman"/>
          <w:sz w:val="22"/>
        </w:rPr>
        <w:t>Diagnostic datasets are especially vulnerable to shortcuts. Healthy controls are frequently obtained from separate research programmes or sites. A classifier may then identify scanner, age or acquisition differences rather than MS. OASIS, ADNI, IXI, BrainWeb, BraTS, ISLES and the WMH Challenge may support pretraining or methodological experiments but are not MS cohorts. Unverified Kaggle images and two-dimensional exports can obscure patient identity, duplicate cases, remove metadata and sever images from expert ascertainment. Their inclusion should trigger provenance analysis rather than be interpreted as inexpensive external validation.</w:t>
      </w:r>
    </w:p>
    <w:p>
      <w:pPr>
        <w:pStyle w:val="Heading1"/>
      </w:pPr>
      <w:r>
        <w:rPr>
          <w:rFonts w:ascii="Times New Roman" w:hAnsi="Times New Roman"/>
          <w:sz w:val="28"/>
        </w:rPr>
        <w:t>4. Artificial intelligence methods and applications across MS MRI</w:t>
      </w:r>
    </w:p>
    <w:p>
      <w:pPr>
        <w:pStyle w:val="Heading2"/>
      </w:pPr>
      <w:r>
        <w:rPr>
          <w:rFonts w:ascii="Times New Roman" w:hAnsi="Times New Roman"/>
          <w:sz w:val="24"/>
        </w:rPr>
        <w:t>4.1 Reconstruction, quality control, registration and harmonisation</w:t>
      </w:r>
    </w:p>
    <w:p>
      <w:pPr/>
      <w:r>
        <w:rPr>
          <w:rFonts w:ascii="Times New Roman" w:hAnsi="Times New Roman"/>
          <w:sz w:val="22"/>
        </w:rPr>
        <w:t>AI acts first on the measurement chain. Motion detection, artefact classification, automated positioning and protocol-completeness checks can prevent unusable data from entering downstream models. Registration of serial scans supports subtraction imaging and consistent regional measurement, but registration error around ventricles, atrophy and resection-like tissue changes can mimic lesion change. A quality-control model should therefore issue failure states and visual overlays rather than silently normalise every input. Missing-sequence synthesis is attractive where post-contrast, susceptibility-sensitive or high-resolution images are unavailable, yet a synthetic sequence is an estimate conditioned on observed data. It cannot be assumed to contain a lesion or vein that was not identifiable in the source contrasts.</w:t>
      </w:r>
    </w:p>
    <w:p>
      <w:pPr/>
      <w:r>
        <w:rPr>
          <w:rFonts w:ascii="Times New Roman" w:hAnsi="Times New Roman"/>
          <w:sz w:val="22"/>
        </w:rPr>
        <w:t>DeepHarmony learned contrast transformation from overlapping subjects to reduce scanner-related inconsistency [33], while HACA3 generalised harmonisation across 21 sites, field strengths, vendors and flexible contrast combinations and evaluated downstream lesion and volumetric measures [34]. These studies illustrate an appropriate validation principle: image similarity is insufficient; harmonisation should preserve known pathology, reduce unwanted scanner variance and maintain longitudinal biological change. Super-resolution work on 429 images across six datasets improved PSNR, structural similarity and subsequent lesion segmentation after simulated degradation [35]. Nevertheless, simulated low resolution is easier to characterise than real motion, noise and interpolation. Generative reconstruction that improves appearance can smooth a tiny lesion or invent high-frequency structure. Travel-subject studies, test–retest measurement and lesion-level non-inferiority are more clinically relevant than visual preference alone.</w:t>
      </w:r>
    </w:p>
    <w:p>
      <w:pPr>
        <w:pStyle w:val="Heading2"/>
      </w:pPr>
      <w:r>
        <w:rPr>
          <w:rFonts w:ascii="Times New Roman" w:hAnsi="Times New Roman"/>
          <w:sz w:val="24"/>
        </w:rPr>
        <w:t>4.2 White-matter, enhancing and spinal lesion segmentation</w:t>
      </w:r>
    </w:p>
    <w:p>
      <w:pPr/>
      <w:r>
        <w:rPr>
          <w:rFonts w:ascii="Times New Roman" w:hAnsi="Times New Roman"/>
          <w:sz w:val="22"/>
        </w:rPr>
        <w:t>White-matter lesion segmentation is the most technically mature task. In approximately 1,000 phase III trial scans, a fully convolutional approach reported high tissue overlap and a T2-lesion Dice around 0.82 under leave-centre-out evaluation [36]. The result demonstrates scalable measurement under coordinated acquisition, not unrestricted generalisation. Models trained on smaller institutional data and tested on MSSEG have at times matched or exceeded the average single rater relative to a fused consensus [37]. The careful interpretation is that algorithm–consensus agreement can fall within the human inter-rater range; it does not show that an algorithm is clinically superior to expert interpretation.</w:t>
      </w:r>
    </w:p>
    <w:p>
      <w:pPr/>
      <w:r>
        <w:rPr>
          <w:rFonts w:ascii="Times New Roman" w:hAnsi="Times New Roman"/>
          <w:sz w:val="22"/>
        </w:rPr>
        <w:t>Methods designed for acquisition variability provide a more informative stress test. A contrast-adaptive model produced brain structures and lesions across four disparate datasets without protocol-specific retraining [38]. BIANCA-MS reported an aggregate Dice around 0.72 but with a standard deviation of 0.25 and substantial false-positive and false-negative cluster counts [39]. In a small real-world external evaluation, median Dice fell from 0.73 internally to 0.66 in a Latin American cohort, while human inter-rater Dice was 0.63 and test–retest consistency remained high [40]. The broad lesson is not that 0.66 is universally sufficient. It is that external loss, reference uncertainty and repeatability must be considered jointly, and that lesion burden and clinical tolerance for false positives determine whether a segmentation is useful.</w:t>
      </w:r>
    </w:p>
    <w:p>
      <w:pPr/>
      <w:r>
        <w:rPr>
          <w:rFonts w:ascii="Times New Roman" w:hAnsi="Times New Roman"/>
          <w:sz w:val="22"/>
        </w:rPr>
        <w:t>Large private trial data improve robustness but do not erase the domain gap. A multi-arm U-Net trained in multi-centre relapsing MS trials achieved internal Dice at or above 0.66 and sensitivity at or above 0.72; on an external challenge these fell to 0.62 and 0.68, respectively, although group differences and lesion–disability associations were recovered [41]. This is valuable for trial end points and population-level research. It remains different from reliable per-patient detection of a single actionable lesion in an uncurated PACS examination.</w:t>
      </w:r>
    </w:p>
    <w:p>
      <w:pPr/>
      <w:r>
        <w:rPr>
          <w:rFonts w:ascii="Times New Roman" w:hAnsi="Times New Roman"/>
          <w:sz w:val="22"/>
        </w:rPr>
        <w:t>Enhancing lesions are comparatively rare and small. In 372 scans from the Swiss cohort, a model achieved Dice 0.76 and a high true-positive rate under patient-level cross-validation, but lacked a fully independent external cohort [42]. Another system developed with 600 examinations and compared lesion counts in 2,846 routine scans reported Dice 0.698, lesion sensitivity 0.844 and a false-discovery rate of 0.307; performance improved markedly for lesions larger than 100 voxels [43]. These size effects matter because an average patient-level Dice can be dominated by larger lesions while the clinically consequential punctate enhancement remains missed or overcalled.</w:t>
      </w:r>
    </w:p>
    <w:p>
      <w:pPr/>
      <w:r>
        <w:rPr>
          <w:rFonts w:ascii="Times New Roman" w:hAnsi="Times New Roman"/>
          <w:sz w:val="22"/>
        </w:rPr>
        <w:t>Spinal cord analysis separates easy anatomy from difficult pathology. A 30-site network reached a cord Dice of approximately 0.95, but spinal lesion Dice was about 0.60 despite sensitivity of 0.83 and precision of 0.77 [27]. Partial-volume effects, small cross-sectional area, motion, pulsation, susceptibility and heterogeneous axial or sagittal protocols explain part of the gap. A recent multi-contrast system trained on 4,428 annotated images from 1,849 patients across 23 centres illustrates the value of heterogeneous training and explicit external assessment [44]. Even so, missing contrasts and site-specific annotation policies make spinal lesion segmentation less mature than cord morphometry. A clinically safe tool must distinguish uncertain image quality from confident absence of lesions.</w:t>
      </w:r>
    </w:p>
    <w:p>
      <w:pPr>
        <w:pStyle w:val="Heading2"/>
      </w:pPr>
      <w:r>
        <w:rPr>
          <w:rFonts w:ascii="Times New Roman" w:hAnsi="Times New Roman"/>
          <w:sz w:val="24"/>
        </w:rPr>
        <w:t>4.3 Cortical lesions, CVS and PRL</w:t>
      </w:r>
    </w:p>
    <w:p>
      <w:pPr/>
      <w:r>
        <w:rPr>
          <w:rFonts w:ascii="Times New Roman" w:hAnsi="Times New Roman"/>
          <w:sz w:val="22"/>
        </w:rPr>
        <w:t>Cortical and chronic active lesions are biologically and diagnostically important but impose specialised acquisition and labelling requirements. At 7 T, the CLAIMS network was trained on 2,247 consensus cortical lesions from 60 patients and externally assessed in 20 patients; lesion detection was approximately 74% with a 30% false-positive rate, and intracortical lesions were harder than leukocortical lesions [45]. A larger 3/7-T multi-institution study found lesion F1 around 0.64 in-domain and around 0.50 out-of-distribution, with small lesions and leukocortical boundaries driving error [46]. Increasing model capacity did not reliably solve the domain problem. These results caution against interpreting high-field research performance as readiness for routine 3-T clinical FLAIR.</w:t>
      </w:r>
    </w:p>
    <w:p>
      <w:pPr/>
      <w:r>
        <w:rPr>
          <w:rFonts w:ascii="Times New Roman" w:hAnsi="Times New Roman"/>
          <w:sz w:val="22"/>
        </w:rPr>
        <w:t>CVS automation has a direct conceptual link to the revised diagnostic criteria, but most systems remain partly conditioned on manual lesion selection. CVSnet used data from three centres and four scanners; in an independent test of 314 presegmented lesions, lesion-level AUC was 0.90 and a 50% CVS rule yielded subject-level sensitivity 0.89 and specificity 0.92 [47]. Because non-evaluable lesions were excluded and candidate lesions were manually defined, this is not an end-to-end diagnostic evaluation. A systematic review also shows that CVS performance depends on sequence, field strength, lesion selection and the patient-level rule [48]. The diagnostic validity of CVS should not be conflated with the engineering validity of automated CVS detection.</w:t>
      </w:r>
    </w:p>
    <w:p>
      <w:pPr/>
      <w:r>
        <w:rPr>
          <w:rFonts w:ascii="Times New Roman" w:hAnsi="Times New Roman"/>
          <w:sz w:val="22"/>
        </w:rPr>
        <w:t>PRL models face severe class imbalance. RimNet analysed 462 rim-positive and 4,857 rim-negative lesions from 124 patients and reported AUC 0.943, sensitivity 0.706, specificity 0.949 and positive predictive value 0.569 [49]. Expert lesion-level F1 remained substantially higher than the model's, and some small or confluent lesions were excluded. QSMRim-Net achieved sensitivity around 0.68 at specificity 0.99 in 172 patients, but relied on fivefold cross-validation and only 177 positive lesions [50]. High specificity is readily amplified by thousands of negative lesions; positive predictive value, false positives per patient and external-reader comparison are indispensable. An automated multi-biomarker pipeline has reported cross-validated AUROCs around 0.95 for lesions, 0.91 for PRL and 0.87 for CVS in 97 patients, but still awaits independent testing [51].</w:t>
      </w:r>
    </w:p>
    <w:p>
      <w:pPr/>
      <w:r>
        <w:rPr>
          <w:rFonts w:ascii="Times New Roman" w:hAnsi="Times New Roman"/>
          <w:sz w:val="22"/>
        </w:rPr>
        <w:t>The clinical premise for these markers is stronger than it was several years ago. Multi-centre work combining cortical lesions, CVS and PRL has shown high specificity for MS and an association between multiple PRLs and progression independent of relapse activity, although the latter estimate was imprecise [52]. The revised criteria create a use case for reliable automated counts and proportions, not a licence for autonomous diagnosis. Prospective studies must test ordinary 3-T sequences, real mimics, non-evaluable lesions and the complete pipeline from image quality through lesion detection to patient-level interpretation.</w:t>
      </w:r>
    </w:p>
    <w:p>
      <w:pPr/>
      <w:r>
        <w:rPr>
          <w:rFonts w:ascii="Times New Roman" w:hAnsi="Times New Roman"/>
          <w:sz w:val="22"/>
        </w:rPr>
        <w:t>Figure 3 places these targets in their native imaging context. The visual hierarchy is clinically important: global lesion burden and longitudinal change are not interchangeable with enhancement, cortical pathology, susceptibility markers or spinal cord lesions. Each target requires different sequences, annotation rules, error tolerances and units of analysis, so a single aggregate “segmentation performance” statement cannot describe the field.</w:t>
      </w:r>
    </w:p>
    <w:p>
      <w:pPr>
        <w:keepNext/>
        <w:spacing w:before="120" w:after="0"/>
        <w:jc w:val="center"/>
      </w:pPr>
      <w:r>
        <w:drawing>
          <wp:inline xmlns:a="http://schemas.openxmlformats.org/drawingml/2006/main" xmlns:pic="http://schemas.openxmlformats.org/drawingml/2006/picture">
            <wp:extent cx="5688000" cy="3201201"/>
            <wp:docPr id="3" name="Picture 3" descr="Six MRI panels show lesion burden, longitudinal change, enhancement, cortical lesions, CVS and PRL, and spinal cord lesions." title="MRI targets for AI in multiple sclerosis"/>
            <wp:cNvGraphicFramePr>
              <a:graphicFrameLocks noChangeAspect="1"/>
            </wp:cNvGraphicFramePr>
            <a:graphic>
              <a:graphicData uri="http://schemas.openxmlformats.org/drawingml/2006/picture">
                <pic:pic>
                  <pic:nvPicPr>
                    <pic:cNvPr id="0" name="fig3_ms_mri_target_atlas.png"/>
                    <pic:cNvPicPr/>
                  </pic:nvPicPr>
                  <pic:blipFill>
                    <a:blip r:embed="rId11"/>
                    <a:stretch>
                      <a:fillRect/>
                    </a:stretch>
                  </pic:blipFill>
                  <pic:spPr>
                    <a:xfrm>
                      <a:off x="0" y="0"/>
                      <a:ext cx="5688000" cy="3201201"/>
                    </a:xfrm>
                    <a:prstGeom prst="rect"/>
                  </pic:spPr>
                </pic:pic>
              </a:graphicData>
            </a:graphic>
          </wp:inline>
        </w:drawing>
      </w:r>
    </w:p>
    <w:p>
      <w:pPr>
        <w:pStyle w:val="Caption"/>
        <w:keepLines/>
        <w:spacing w:before="60" w:after="120" w:line="252" w:lineRule="auto"/>
        <w:jc w:val="left"/>
      </w:pPr>
      <w:r>
        <w:rPr>
          <w:rFonts w:ascii="Times New Roman" w:hAnsi="Times New Roman"/>
          <w:b/>
          <w:color w:val="243B64"/>
          <w:sz w:val="17"/>
        </w:rPr>
        <w:t>Figure 3. MRI targets for artificial intelligence in multiple sclerosis.</w:t>
      </w:r>
      <w:r>
        <w:rPr>
          <w:rFonts w:ascii="Times New Roman" w:hAnsi="Times New Roman"/>
          <w:sz w:val="17"/>
        </w:rPr>
        <w:t xml:space="preserve"> (A) Cross-sectional white-matter lesion burden with editable segmentation contours. (B) Paired baseline and follow-up FLAIR images showing new and enlarging lesions. (C) A contrast-enhancing lesion on post-contrast T1-weighted imaging. (D) A cortical lesion at the grey–white matter interface. (E) Susceptibility-sensitive examples of the central vein sign and a paramagnetic rim lesion. (F) Sagittal and axial cervical cord views with cord and intramedullary lesion contours. Overlays are schematic and do not represent patient data or measured performance. The figure is an original AI-generated scientific illustration created for this survey.</w:t>
      </w:r>
    </w:p>
    <w:p>
      <w:pPr>
        <w:pStyle w:val="Heading2"/>
      </w:pPr>
      <w:r>
        <w:rPr>
          <w:rFonts w:ascii="Times New Roman" w:hAnsi="Times New Roman"/>
          <w:sz w:val="24"/>
        </w:rPr>
        <w:t>4.4 Diagnosis and differential diagnosis</w:t>
      </w:r>
    </w:p>
    <w:p>
      <w:pPr/>
      <w:r>
        <w:rPr>
          <w:rFonts w:ascii="Times New Roman" w:hAnsi="Times New Roman"/>
          <w:sz w:val="22"/>
        </w:rPr>
        <w:t>Diagnostic modelling illustrates how the data-generating process can dominate performance. A CNN distinguishing 76 established MS cases from 71 healthy controls reached 87% accuracy [53]. Such a design asks whether two curated groups differ, not whether a new patient meets diagnostic criteria. A more relevant study included migraine, MS, neuromyelitis optica spectrum disorder (NMOSD) and central nervous system vasculitis, reporting one-versus-rest accuracy of 98.8% for MS in a 90-person held-out set [54]. However, the test set came from the same data ecosystem, class proportions were artificial, and radiologists were restricted to selected MRI information while clinical diagnosis normally integrates symptoms, cerebrospinal fluid and serology.</w:t>
      </w:r>
    </w:p>
    <w:p>
      <w:pPr/>
      <w:r>
        <w:rPr>
          <w:rFonts w:ascii="Times New Roman" w:hAnsi="Times New Roman"/>
          <w:sz w:val="22"/>
        </w:rPr>
        <w:t>Direct MS–NMOSD discrimination remains challenging. A single-centre two-dimensional FLAIR network in 86 MS and 70 NMOSD cases achieved accuracy 0.761 and AUC 0.85 without external validation [55]. Texture and radiomics models can identify distributed abnormalities, but small feature-to-sample ratios and unstable preprocessing threaten reproducibility. For example, an early radiomics study trained on 36 MS cases and 36 controls showed an external T1-based AUC around 0.78 but sensitivity only 0.30 [56]. High accuracy in balanced data is therefore less informative than sensitivity, specificity, predictive values and calibration at the intended clinic prevalence.</w:t>
      </w:r>
    </w:p>
    <w:p>
      <w:pPr/>
      <w:r>
        <w:rPr>
          <w:rFonts w:ascii="Times New Roman" w:hAnsi="Times New Roman"/>
          <w:sz w:val="22"/>
        </w:rPr>
        <w:t>Recent multi-biomarker models based on manually assessed CVS, cortical lesions and PRLs offer a better biological target and have achieved high balanced accuracy in small external samples [57]. Yet they test the combination of expert-read biomarkers, not a complete AI system. A clinically valid diagnostic tool must begin with consecutive or otherwise representative suspected cases, predefine how indeterminate scans are handled, compare against an appropriate multidisciplinary reference standard, and report subgroup performance across age, sex, race and ethnicity, comorbidity, disease duration, scanner and referring context. It should also be evaluated as an adjunct: the relevant question is usually whether calibrated AI assistance reduces error or unnecessary testing, not whether an image-only model can outperform a clinician deprived of clinical data.</w:t>
      </w:r>
    </w:p>
    <w:p>
      <w:pPr>
        <w:pStyle w:val="Heading2"/>
      </w:pPr>
      <w:r>
        <w:rPr>
          <w:rFonts w:ascii="Times New Roman" w:hAnsi="Times New Roman"/>
          <w:sz w:val="24"/>
        </w:rPr>
        <w:t>4.5 Longitudinal activity, treatment response and quantitative monitoring</w:t>
      </w:r>
    </w:p>
    <w:p>
      <w:pPr/>
      <w:r>
        <w:rPr>
          <w:rFonts w:ascii="Times New Roman" w:hAnsi="Times New Roman"/>
          <w:sz w:val="22"/>
        </w:rPr>
        <w:t>Longitudinal comparison is where automation most directly addresses a routine bottleneck. Registration, subtraction and lesion matching can make new or enlarging lesions more visible and produce structured counts and volumes. A 60-patient study reported new-lesion Dice around 0.83 and lesion sensitivity around 83%, but was single-centre and included relatively few active cases [58]. On the heterogeneous hidden MSSEG-2 test set, a lesion-aware augmentation method reached Dice 0.510 and lesion F1 0.552 in cases with new lesions while keeping false positives low in stable cases [59]. The contrast with easier cross-sectional segmentation shows why activity should be evaluated at lesion and patient levels, particularly in scans with zero events.</w:t>
      </w:r>
    </w:p>
    <w:p>
      <w:pPr/>
      <w:r>
        <w:rPr>
          <w:rFonts w:ascii="Times New Roman" w:hAnsi="Times New Roman"/>
          <w:sz w:val="22"/>
        </w:rPr>
        <w:t>The definitive MSSEG-2 analysis is especially instructive: the best method and best expert both achieved approximately 85% accuracy when patients were classified as having no, one to two, or more than two new lesions, even though lesion-level overlap and expert agreement varied widely [18]. This does not mean the algorithm replaces the reader. It suggests that clinically aligned categories can be robust despite uncertain boundaries, provided the system displays candidates and uncertainty for human verification.</w:t>
      </w:r>
    </w:p>
    <w:p>
      <w:pPr/>
      <w:r>
        <w:rPr>
          <w:rFonts w:ascii="Times New Roman" w:hAnsi="Times New Roman"/>
          <w:sz w:val="22"/>
        </w:rPr>
        <w:t>Real-world retrospective evidence is emerging. In 397 multi-centre scan pairs, an AI system detected new or enlarging FLAIR activity with patient-level sensitivity 93.3%, compared with 58.3% in routine reports and 85.0% in a core laboratory, with similar high specificity [60]. This is one of the strongest translation signals in the field, but it was a retrospective discrepancy-adjudication study with commercial conflicts and no patient-outcome endpoint. A PACS-compatible evaluation in 54 scan pairs and three experts primarily established usability and reader acceptance [61]. A four-reader crossover study reported 31.5% shorter baseline and 38.4% shorter follow-up reading times, yet one reader did not benefit, another became slower on baseline scans, and software failed in 10% of follow-up cases [62]. In 35 consecutive patients, AI assistance shortened one resident's mean interpretation time by 2.83 minutes, but fixed reading order, a single reader and the small sample allow learning and recall effects [63]. Another small study found additional true new lesions only after readers rejected 61 false-positive AI candidates, showing that sensitivity gains can be exchanged for verification burden [64]. A later retrospective re-read of 83 patients reported more newly identified and enlarging lesions and documented treatment adjustments in 10.8%; a decision change is not proof that the change was appropriate or beneficial [65].</w:t>
      </w:r>
    </w:p>
    <w:p>
      <w:pPr/>
      <w:r>
        <w:rPr>
          <w:rFonts w:ascii="Times New Roman" w:hAnsi="Times New Roman"/>
          <w:sz w:val="22"/>
        </w:rPr>
        <w:t>Brain tissue and lesion volumetry can complement activity detection, particularly when visual assessment of slow atrophy is insensitive. Large automated pipelines can produce parenchymal fraction, cortical and deep grey-matter volumes, lesion load and spinal cord area. Scanner and protocol effects can be similar in magnitude to annual biological change, so normative z scores and longitudinal rates require stable acquisition, software version control and uncertainty limits. DeepBVC learned brain volume change from SIENA-derived pseudo-labels and showed technical agreement, but did not demonstrate a clear association with EDSS progression in its test data [66]. Quantitative output is therefore best treated as a measurement with provenance and confidence—not as a self-interpreting disease score.</w:t>
      </w:r>
    </w:p>
    <w:p>
      <w:pPr>
        <w:sectPr>
          <w:pgSz w:w="11906" w:h="16838"/>
          <w:pgMar w:top="1440" w:right="1440" w:bottom="1440" w:left="1440" w:header="709" w:footer="709" w:gutter="0"/>
          <w:cols w:space="720"/>
          <w:titlePg/>
          <w:docGrid w:linePitch="360"/>
        </w:sectPr>
      </w:pPr>
    </w:p>
    <w:p>
      <w:pPr>
        <w:keepNext/>
        <w:spacing w:after="100" w:line="240" w:lineRule="auto"/>
      </w:pPr>
      <w:r>
        <w:rPr>
          <w:rFonts w:ascii="Times New Roman" w:hAnsi="Times New Roman"/>
          <w:b/>
          <w:color w:val="000000"/>
          <w:sz w:val="21"/>
        </w:rPr>
        <w:t>Table 2. Task-specific technical performance and evidence limitations</w:t>
      </w:r>
    </w:p>
    <w:tbl>
      <w:tblPr>
        <w:tblStyle w:val="TableGrid"/>
        <w:tblW w:type="auto" w:w="0"/>
        <w:jc w:val="center"/>
        <w:tblLayout w:type="fixed"/>
        <w:tblLook w:firstColumn="1" w:firstRow="1" w:lastColumn="0" w:lastRow="0" w:noHBand="0" w:noVBand="1" w:val="04A0"/>
      </w:tblPr>
      <w:tblGrid>
        <w:gridCol w:w="2326"/>
        <w:gridCol w:w="2326"/>
        <w:gridCol w:w="2326"/>
        <w:gridCol w:w="2326"/>
        <w:gridCol w:w="2326"/>
        <w:gridCol w:w="2326"/>
      </w:tblGrid>
      <w:tr>
        <w:trPr>
          <w:tblHeader w:val="true"/>
          <w:cantSplit/>
        </w:trPr>
        <w:tc>
          <w:tcPr>
            <w:tcW w:type="dxa" w:w="1701"/>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Task</w:t>
            </w:r>
          </w:p>
        </w:tc>
        <w:tc>
          <w:tcPr>
            <w:tcW w:type="dxa" w:w="2268"/>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Clinically relevant output</w:t>
            </w:r>
          </w:p>
        </w:tc>
        <w:tc>
          <w:tcPr>
            <w:tcW w:type="dxa" w:w="2268"/>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Appropriate metrics</w:t>
            </w:r>
          </w:p>
        </w:tc>
        <w:tc>
          <w:tcPr>
            <w:tcW w:type="dxa" w:w="3005"/>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Illustrative performance under stated conditions</w:t>
            </w:r>
          </w:p>
        </w:tc>
        <w:tc>
          <w:tcPr>
            <w:tcW w:type="dxa" w:w="1928"/>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Highest common validation level</w:t>
            </w:r>
          </w:p>
        </w:tc>
        <w:tc>
          <w:tcPr>
            <w:tcW w:type="dxa" w:w="2778"/>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Recurrent failure mode</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Reconstruction / harmonisation</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Pathology-preserving image or stable measurement</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Downstream lesion/volume error; test–retest; site variance</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Super-resolution in simulated low-resolution FLAIR: PSNR 22.7→24.1 dB; SSIM 0.64→0.72</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Multi-dataset technical validation</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Hallucinated or smoothed small lesions; paired-data dependence; protocol drift</w:t>
            </w:r>
          </w:p>
        </w:tc>
      </w:tr>
      <w:tr>
        <w:trPr>
          <w:cantSplit/>
        </w:trPr>
        <w:tc>
          <w:tcPr>
            <w:tcW w:type="dxa" w:w="1701"/>
            <w:vAlign w:val="center"/>
            <w:shd w:fill="F4F6F8"/>
            <w:tcMar>
              <w:top w:w="55" w:type="dxa"/>
              <w:start w:w="65" w:type="dxa"/>
              <w:bottom w:w="55" w:type="dxa"/>
              <w:end w:w="65" w:type="dxa"/>
            </w:tcMar>
          </w:tcPr>
          <w:p>
            <w:pPr>
              <w:spacing w:line="240" w:lineRule="auto" w:after="0"/>
            </w:pPr>
            <w:r>
              <w:rPr>
                <w:rFonts w:ascii="Times New Roman" w:hAnsi="Times New Roman"/>
                <w:sz w:val="14"/>
              </w:rPr>
              <w:t>Brain WM lesion segmentation</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Lesion map, count and volume</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Dice plus lesion sensitivity, PPV, FP/scan, volume bias</w:t>
            </w:r>
          </w:p>
        </w:tc>
        <w:tc>
          <w:tcPr>
            <w:tcW w:type="dxa" w:w="3005"/>
            <w:vAlign w:val="center"/>
            <w:shd w:fill="F4F6F8"/>
            <w:tcMar>
              <w:top w:w="55" w:type="dxa"/>
              <w:start w:w="65" w:type="dxa"/>
              <w:bottom w:w="55" w:type="dxa"/>
              <w:end w:w="65" w:type="dxa"/>
            </w:tcMar>
          </w:tcPr>
          <w:p>
            <w:pPr>
              <w:spacing w:line="240" w:lineRule="auto" w:after="0"/>
            </w:pPr>
            <w:r>
              <w:rPr>
                <w:rFonts w:ascii="Times New Roman" w:hAnsi="Times New Roman"/>
                <w:sz w:val="14"/>
              </w:rPr>
              <w:t>Same-domain Dice commonly ~0.70–0.80; one real-world study 0.73 internal vs 0.66 external; inter-rater 0.63</w:t>
            </w:r>
          </w:p>
        </w:tc>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Small independent external sets</w:t>
            </w:r>
          </w:p>
        </w:tc>
        <w:tc>
          <w:tcPr>
            <w:tcW w:type="dxa" w:w="2778"/>
            <w:vAlign w:val="center"/>
            <w:shd w:fill="F4F6F8"/>
            <w:tcMar>
              <w:top w:w="55" w:type="dxa"/>
              <w:start w:w="65" w:type="dxa"/>
              <w:bottom w:w="55" w:type="dxa"/>
              <w:end w:w="65" w:type="dxa"/>
            </w:tcMar>
          </w:tcPr>
          <w:p>
            <w:pPr>
              <w:spacing w:line="240" w:lineRule="auto" w:after="0"/>
            </w:pPr>
            <w:r>
              <w:rPr>
                <w:rFonts w:ascii="Times New Roman" w:hAnsi="Times New Roman"/>
                <w:sz w:val="14"/>
              </w:rPr>
              <w:t>Small/infratentorial lesions, low burden, vascular WMH, unfamiliar scanners</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New/enlarging lesions</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Patient activity and candidate changes</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Lesion F1; FP in stable cases; patient activity category</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MSSEG-2 best method and expert each ~85% for 0, 1–2, &gt;2 new lesions; lesion overlap much more variable</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Hidden multi-scanner challenge; retrospective PACS</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Registration error, tiny lesions, protocol mismatch, false-positive review burden</w:t>
            </w:r>
          </w:p>
        </w:tc>
      </w:tr>
      <w:tr>
        <w:trPr>
          <w:cantSplit/>
        </w:trPr>
        <w:tc>
          <w:tcPr>
            <w:tcW w:type="dxa" w:w="1701"/>
            <w:vAlign w:val="center"/>
            <w:shd w:fill="F4F6F8"/>
            <w:tcMar>
              <w:top w:w="55" w:type="dxa"/>
              <w:start w:w="65" w:type="dxa"/>
              <w:bottom w:w="55" w:type="dxa"/>
              <w:end w:w="65" w:type="dxa"/>
            </w:tcMar>
          </w:tcPr>
          <w:p>
            <w:pPr>
              <w:spacing w:line="240" w:lineRule="auto" w:after="0"/>
            </w:pPr>
            <w:r>
              <w:rPr>
                <w:rFonts w:ascii="Times New Roman" w:hAnsi="Times New Roman"/>
                <w:sz w:val="14"/>
              </w:rPr>
              <w:t>Gd-enhancing lesions</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Active enhancing lesion candidates</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Lesion sensitivity, FDR, FP/scan, size strata</w:t>
            </w:r>
          </w:p>
        </w:tc>
        <w:tc>
          <w:tcPr>
            <w:tcW w:type="dxa" w:w="3005"/>
            <w:vAlign w:val="center"/>
            <w:shd w:fill="F4F6F8"/>
            <w:tcMar>
              <w:top w:w="55" w:type="dxa"/>
              <w:start w:w="65" w:type="dxa"/>
              <w:bottom w:w="55" w:type="dxa"/>
              <w:end w:w="65" w:type="dxa"/>
            </w:tcMar>
          </w:tcPr>
          <w:p>
            <w:pPr>
              <w:spacing w:line="240" w:lineRule="auto" w:after="0"/>
            </w:pPr>
            <w:r>
              <w:rPr>
                <w:rFonts w:ascii="Times New Roman" w:hAnsi="Times New Roman"/>
                <w:sz w:val="14"/>
              </w:rPr>
              <w:t>Representative Dice ~0.70–0.76; lesions &gt;100 voxels materially easier</w:t>
            </w:r>
          </w:p>
        </w:tc>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Patient-level internal validation; routine retrospective comparison</w:t>
            </w:r>
          </w:p>
        </w:tc>
        <w:tc>
          <w:tcPr>
            <w:tcW w:type="dxa" w:w="2778"/>
            <w:vAlign w:val="center"/>
            <w:shd w:fill="F4F6F8"/>
            <w:tcMar>
              <w:top w:w="55" w:type="dxa"/>
              <w:start w:w="65" w:type="dxa"/>
              <w:bottom w:w="55" w:type="dxa"/>
              <w:end w:w="65" w:type="dxa"/>
            </w:tcMar>
          </w:tcPr>
          <w:p>
            <w:pPr>
              <w:spacing w:line="240" w:lineRule="auto" w:after="0"/>
            </w:pPr>
            <w:r>
              <w:rPr>
                <w:rFonts w:ascii="Times New Roman" w:hAnsi="Times New Roman"/>
                <w:sz w:val="14"/>
              </w:rPr>
              <w:t>Rare positives, vessels, motion, tiny punctate enhancement</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Spinal cord and lesions</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Cord area and intramedullary lesion map</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Cord/lesion Dice; lesion precision and sensitivity; QC failure</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30-site cord Dice 0.95; MS lesion Dice 0.60, sensitivity 0.83, precision 0.77</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Multi-site internal/external technical testing</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Partial volume, motion/pulsation, small cord, missing axial or STIR/PSIR contrasts</w:t>
            </w:r>
          </w:p>
        </w:tc>
      </w:tr>
      <w:tr>
        <w:trPr>
          <w:cantSplit/>
        </w:trPr>
        <w:tc>
          <w:tcPr>
            <w:tcW w:type="dxa" w:w="1701"/>
            <w:vAlign w:val="center"/>
            <w:shd w:fill="F4F6F8"/>
            <w:tcMar>
              <w:top w:w="55" w:type="dxa"/>
              <w:start w:w="65" w:type="dxa"/>
              <w:bottom w:w="55" w:type="dxa"/>
              <w:end w:w="65" w:type="dxa"/>
            </w:tcMar>
          </w:tcPr>
          <w:p>
            <w:pPr>
              <w:spacing w:line="240" w:lineRule="auto" w:after="0"/>
            </w:pPr>
            <w:r>
              <w:rPr>
                <w:rFonts w:ascii="Times New Roman" w:hAnsi="Times New Roman"/>
                <w:sz w:val="14"/>
              </w:rPr>
              <w:t>Cortical lesions</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Cortical lesion candidates by subtype</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Lesion F1/sensitivity, FP rate, subtype performance</w:t>
            </w:r>
          </w:p>
        </w:tc>
        <w:tc>
          <w:tcPr>
            <w:tcW w:type="dxa" w:w="3005"/>
            <w:vAlign w:val="center"/>
            <w:shd w:fill="F4F6F8"/>
            <w:tcMar>
              <w:top w:w="55" w:type="dxa"/>
              <w:start w:w="65" w:type="dxa"/>
              <w:bottom w:w="55" w:type="dxa"/>
              <w:end w:w="65" w:type="dxa"/>
            </w:tcMar>
          </w:tcPr>
          <w:p>
            <w:pPr>
              <w:spacing w:line="240" w:lineRule="auto" w:after="0"/>
            </w:pPr>
            <w:r>
              <w:rPr>
                <w:rFonts w:ascii="Times New Roman" w:hAnsi="Times New Roman"/>
                <w:sz w:val="14"/>
              </w:rPr>
              <w:t>7 T detection ~74% with ~30% FP; multi-institution F1 ~0.64 in-domain vs ~0.50 OOD</w:t>
            </w:r>
          </w:p>
        </w:tc>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Very small external high-field cohorts</w:t>
            </w:r>
          </w:p>
        </w:tc>
        <w:tc>
          <w:tcPr>
            <w:tcW w:type="dxa" w:w="2778"/>
            <w:vAlign w:val="center"/>
            <w:shd w:fill="F4F6F8"/>
            <w:tcMar>
              <w:top w:w="55" w:type="dxa"/>
              <w:start w:w="65" w:type="dxa"/>
              <w:bottom w:w="55" w:type="dxa"/>
              <w:end w:w="65" w:type="dxa"/>
            </w:tcMar>
          </w:tcPr>
          <w:p>
            <w:pPr>
              <w:spacing w:line="240" w:lineRule="auto" w:after="0"/>
            </w:pPr>
            <w:r>
              <w:rPr>
                <w:rFonts w:ascii="Times New Roman" w:hAnsi="Times New Roman"/>
                <w:sz w:val="14"/>
              </w:rPr>
              <w:t>Intracortical lesions, leukocortical boundary, 7 T/3 T domain shift</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CVS</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CVS-positive lesion proportion / rule</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Lesion AUC plus patient sensitivity, specificity, non-evaluable rate</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CVSnet AUC 0.90; 50% rule sensitivity 0.89, specificity 0.92 after manual lesion selection</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Small multi-scanner held-out test</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Manual candidate dependence; sequence and eligibility filtering</w:t>
            </w:r>
          </w:p>
        </w:tc>
      </w:tr>
      <w:tr>
        <w:trPr>
          <w:cantSplit/>
        </w:trPr>
        <w:tc>
          <w:tcPr>
            <w:tcW w:type="dxa" w:w="1701"/>
            <w:vAlign w:val="center"/>
            <w:shd w:fill="F4F6F8"/>
            <w:tcMar>
              <w:top w:w="55" w:type="dxa"/>
              <w:start w:w="65" w:type="dxa"/>
              <w:bottom w:w="55" w:type="dxa"/>
              <w:end w:w="65" w:type="dxa"/>
            </w:tcMar>
          </w:tcPr>
          <w:p>
            <w:pPr>
              <w:spacing w:line="240" w:lineRule="auto" w:after="0"/>
            </w:pPr>
            <w:r>
              <w:rPr>
                <w:rFonts w:ascii="Times New Roman" w:hAnsi="Times New Roman"/>
                <w:sz w:val="14"/>
              </w:rPr>
              <w:t>PRL</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Rim-positive lesion count</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Sensitivity, specificity, PPV, FP/patient; reader agreement</w:t>
            </w:r>
          </w:p>
        </w:tc>
        <w:tc>
          <w:tcPr>
            <w:tcW w:type="dxa" w:w="3005"/>
            <w:vAlign w:val="center"/>
            <w:shd w:fill="F4F6F8"/>
            <w:tcMar>
              <w:top w:w="55" w:type="dxa"/>
              <w:start w:w="65" w:type="dxa"/>
              <w:bottom w:w="55" w:type="dxa"/>
              <w:end w:w="65" w:type="dxa"/>
            </w:tcMar>
          </w:tcPr>
          <w:p>
            <w:pPr>
              <w:spacing w:line="240" w:lineRule="auto" w:after="0"/>
            </w:pPr>
            <w:r>
              <w:rPr>
                <w:rFonts w:ascii="Times New Roman" w:hAnsi="Times New Roman"/>
                <w:sz w:val="14"/>
              </w:rPr>
              <w:t>RimNet AUC 0.943, sensitivity 0.706, specificity 0.949, PPV 0.569; cross-validation dominant</w:t>
            </w:r>
          </w:p>
        </w:tc>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Internal cross-validation / limited multi-centre</w:t>
            </w:r>
          </w:p>
        </w:tc>
        <w:tc>
          <w:tcPr>
            <w:tcW w:type="dxa" w:w="2778"/>
            <w:vAlign w:val="center"/>
            <w:shd w:fill="F4F6F8"/>
            <w:tcMar>
              <w:top w:w="55" w:type="dxa"/>
              <w:start w:w="65" w:type="dxa"/>
              <w:bottom w:w="55" w:type="dxa"/>
              <w:end w:w="65" w:type="dxa"/>
            </w:tcMar>
          </w:tcPr>
          <w:p>
            <w:pPr>
              <w:spacing w:line="240" w:lineRule="auto" w:after="0"/>
            </w:pPr>
            <w:r>
              <w:rPr>
                <w:rFonts w:ascii="Times New Roman" w:hAnsi="Times New Roman"/>
                <w:sz w:val="14"/>
              </w:rPr>
              <w:t>Extreme class imbalance, confluent/small lesions, specialised susceptibility imaging</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Diagnosis / differential</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Calibrated probability within a suspected-case spectrum</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Sensitivity, specificity, PPV/NPV, calibration, decision curve</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MS vs healthy controls may exceed 0.85 accuracy; MS vs NMOSD example AUC 0.85; pooled estimates are spectrum-sensitive</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Mostly same-ecosystem hold-out; few small external sets</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Healthy-control shortcuts, artificial prevalence, restricted mimics, missing clinical/CSF context</w:t>
            </w:r>
          </w:p>
        </w:tc>
      </w:tr>
      <w:tr>
        <w:trPr>
          <w:cantSplit/>
        </w:trPr>
        <w:tc>
          <w:tcPr>
            <w:tcW w:type="dxa" w:w="1701"/>
            <w:vAlign w:val="center"/>
            <w:shd w:fill="F4F6F8"/>
            <w:tcMar>
              <w:top w:w="55" w:type="dxa"/>
              <w:start w:w="65" w:type="dxa"/>
              <w:bottom w:w="55" w:type="dxa"/>
              <w:end w:w="65" w:type="dxa"/>
            </w:tcMar>
          </w:tcPr>
          <w:p>
            <w:pPr>
              <w:spacing w:line="240" w:lineRule="auto" w:after="0"/>
            </w:pPr>
            <w:r>
              <w:rPr>
                <w:rFonts w:ascii="Times New Roman" w:hAnsi="Times New Roman"/>
                <w:sz w:val="14"/>
              </w:rPr>
              <w:t>Atrophy / tissue quantification</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Longitudinal volume change with uncertainty</w:t>
            </w:r>
          </w:p>
        </w:tc>
        <w:tc>
          <w:tcPr>
            <w:tcW w:type="dxa" w:w="2268"/>
            <w:vAlign w:val="center"/>
            <w:shd w:fill="F4F6F8"/>
            <w:tcMar>
              <w:top w:w="55" w:type="dxa"/>
              <w:start w:w="65" w:type="dxa"/>
              <w:bottom w:w="55" w:type="dxa"/>
              <w:end w:w="65" w:type="dxa"/>
            </w:tcMar>
          </w:tcPr>
          <w:p>
            <w:pPr>
              <w:spacing w:line="240" w:lineRule="auto" w:after="0"/>
            </w:pPr>
            <w:r>
              <w:rPr>
                <w:rFonts w:ascii="Times New Roman" w:hAnsi="Times New Roman"/>
                <w:sz w:val="14"/>
              </w:rPr>
              <w:t>Bias/limits of agreement, test–retest, annualised change, QC rate</w:t>
            </w:r>
          </w:p>
        </w:tc>
        <w:tc>
          <w:tcPr>
            <w:tcW w:type="dxa" w:w="3005"/>
            <w:vAlign w:val="center"/>
            <w:shd w:fill="F4F6F8"/>
            <w:tcMar>
              <w:top w:w="55" w:type="dxa"/>
              <w:start w:w="65" w:type="dxa"/>
              <w:bottom w:w="55" w:type="dxa"/>
              <w:end w:w="65" w:type="dxa"/>
            </w:tcMar>
          </w:tcPr>
          <w:p>
            <w:pPr>
              <w:spacing w:line="240" w:lineRule="auto" w:after="0"/>
            </w:pPr>
            <w:r>
              <w:rPr>
                <w:rFonts w:ascii="Times New Roman" w:hAnsi="Times New Roman"/>
                <w:sz w:val="14"/>
              </w:rPr>
              <w:t>High cross-sectional tissue Dice and correlations are common; annual change remains scanner/protocol sensitive</w:t>
            </w:r>
          </w:p>
        </w:tc>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Large trial validation; limited routine prospective use</w:t>
            </w:r>
          </w:p>
        </w:tc>
        <w:tc>
          <w:tcPr>
            <w:tcW w:type="dxa" w:w="2778"/>
            <w:vAlign w:val="center"/>
            <w:shd w:fill="F4F6F8"/>
            <w:tcMar>
              <w:top w:w="55" w:type="dxa"/>
              <w:start w:w="65" w:type="dxa"/>
              <w:bottom w:w="55" w:type="dxa"/>
              <w:end w:w="65" w:type="dxa"/>
            </w:tcMar>
          </w:tcPr>
          <w:p>
            <w:pPr>
              <w:spacing w:line="240" w:lineRule="auto" w:after="0"/>
            </w:pPr>
            <w:r>
              <w:rPr>
                <w:rFonts w:ascii="Times New Roman" w:hAnsi="Times New Roman"/>
                <w:sz w:val="14"/>
              </w:rPr>
              <w:t>Scanner upgrade, segmentation drift, pseudo-label bias, threshold disagreement</w:t>
            </w:r>
          </w:p>
        </w:tc>
      </w:tr>
      <w:tr>
        <w:trPr>
          <w:cantSplit/>
        </w:trPr>
        <w:tc>
          <w:tcPr>
            <w:tcW w:type="dxa" w:w="1701"/>
            <w:vAlign w:val="center"/>
            <w:shd w:fill="FFFFFF"/>
            <w:tcMar>
              <w:top w:w="55" w:type="dxa"/>
              <w:start w:w="65" w:type="dxa"/>
              <w:bottom w:w="55" w:type="dxa"/>
              <w:end w:w="65" w:type="dxa"/>
            </w:tcMar>
          </w:tcPr>
          <w:p>
            <w:pPr>
              <w:spacing w:line="240" w:lineRule="auto" w:after="0"/>
            </w:pPr>
            <w:r>
              <w:rPr>
                <w:rFonts w:ascii="Times New Roman" w:hAnsi="Times New Roman"/>
                <w:sz w:val="14"/>
              </w:rPr>
              <w:t>Disability / PIRA / cognition</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Calibrated future risk at a prespecified horizon</w:t>
            </w:r>
          </w:p>
        </w:tc>
        <w:tc>
          <w:tcPr>
            <w:tcW w:type="dxa" w:w="2268"/>
            <w:vAlign w:val="center"/>
            <w:shd w:fill="FFFFFF"/>
            <w:tcMar>
              <w:top w:w="55" w:type="dxa"/>
              <w:start w:w="65" w:type="dxa"/>
              <w:bottom w:w="55" w:type="dxa"/>
              <w:end w:w="65" w:type="dxa"/>
            </w:tcMar>
          </w:tcPr>
          <w:p>
            <w:pPr>
              <w:spacing w:line="240" w:lineRule="auto" w:after="0"/>
            </w:pPr>
            <w:r>
              <w:rPr>
                <w:rFonts w:ascii="Times New Roman" w:hAnsi="Times New Roman"/>
                <w:sz w:val="14"/>
              </w:rPr>
              <w:t>AUC plus calibration, Brier score, RMSE, net benefit</w:t>
            </w:r>
          </w:p>
        </w:tc>
        <w:tc>
          <w:tcPr>
            <w:tcW w:type="dxa" w:w="3005"/>
            <w:vAlign w:val="center"/>
            <w:shd w:fill="FFFFFF"/>
            <w:tcMar>
              <w:top w:w="55" w:type="dxa"/>
              <w:start w:w="65" w:type="dxa"/>
              <w:bottom w:w="55" w:type="dxa"/>
              <w:end w:w="65" w:type="dxa"/>
            </w:tcMar>
          </w:tcPr>
          <w:p>
            <w:pPr>
              <w:spacing w:line="240" w:lineRule="auto" w:after="0"/>
            </w:pPr>
            <w:r>
              <w:rPr>
                <w:rFonts w:ascii="Times New Roman" w:hAnsi="Times New Roman"/>
                <w:sz w:val="14"/>
              </w:rPr>
              <w:t>Systematic review: median AUC 0.78; pooled EDSS RMSE 1.31 with I²=95%</w:t>
            </w:r>
          </w:p>
        </w:tc>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Only a minority independently external</w:t>
            </w:r>
          </w:p>
        </w:tc>
        <w:tc>
          <w:tcPr>
            <w:tcW w:type="dxa" w:w="2778"/>
            <w:vAlign w:val="center"/>
            <w:shd w:fill="FFFFFF"/>
            <w:tcMar>
              <w:top w:w="55" w:type="dxa"/>
              <w:start w:w="65" w:type="dxa"/>
              <w:bottom w:w="55" w:type="dxa"/>
              <w:end w:w="65" w:type="dxa"/>
            </w:tcMar>
          </w:tcPr>
          <w:p>
            <w:pPr>
              <w:spacing w:line="240" w:lineRule="auto" w:after="0"/>
            </w:pPr>
            <w:r>
              <w:rPr>
                <w:rFonts w:ascii="Times New Roman" w:hAnsi="Times New Roman"/>
                <w:sz w:val="14"/>
              </w:rPr>
              <w:t>Unstable outcome definitions, treatment confounding, small events, absent calibration</w:t>
            </w:r>
          </w:p>
        </w:tc>
      </w:tr>
    </w:tbl>
    <w:p>
      <w:pPr>
        <w:spacing w:before="80" w:after="0" w:line="240" w:lineRule="auto"/>
      </w:pPr>
      <w:r>
        <w:rPr>
          <w:rFonts w:ascii="Times New Roman" w:hAnsi="Times New Roman"/>
          <w:b/>
          <w:sz w:val="14"/>
        </w:rPr>
        <w:t xml:space="preserve">Note: </w:t>
      </w:r>
      <w:r>
        <w:rPr>
          <w:rFonts w:ascii="Times New Roman" w:hAnsi="Times New Roman"/>
          <w:sz w:val="14"/>
        </w:rPr>
        <w:t>Values are representative findings under specific datasets and validation levels, not pooled performance ranges. Dice and AUC must not be compared across tasks, lesion prevalences, label policies or test populations. PPV, positive predictive value; FP, false positive; FDR, false-discovery rate; CVS, central vein sign; PRL, paramagnetic rim lesion; PIRA, progression independent of relapse activity.</w:t>
      </w:r>
    </w:p>
    <w:p>
      <w:pPr>
        <w:sectPr>
          <w:pgSz w:w="16838" w:h="11906" w:orient="landscape"/>
          <w:pgMar w:top="1440" w:right="1440" w:bottom="1440" w:left="1440" w:header="709" w:footer="709" w:gutter="0"/>
          <w:cols w:space="720"/>
          <w:titlePg/>
          <w:docGrid w:linePitch="360"/>
        </w:sectPr>
      </w:pPr>
    </w:p>
    <w:p>
      <w:pPr>
        <w:pStyle w:val="Heading2"/>
      </w:pPr>
      <w:r>
        <w:rPr>
          <w:rFonts w:ascii="Times New Roman" w:hAnsi="Times New Roman"/>
          <w:sz w:val="24"/>
        </w:rPr>
        <w:t>4.6 Phenotyping, disability, PIRA and cognition</w:t>
      </w:r>
    </w:p>
    <w:p>
      <w:pPr/>
      <w:r>
        <w:rPr>
          <w:rFonts w:ascii="Times New Roman" w:hAnsi="Times New Roman"/>
          <w:sz w:val="22"/>
        </w:rPr>
        <w:t>Prediction is often presented as the ultimate goal of imaging AI, but the evidence is less mature than for measurement. A 2026 systematic review and meta-analysis of 21 studies and 12,252 patients found median classification AUC 0.78 (range 0.57–0.86), median EDSS regression RMSE 1.08 and pooled RMSE 1.31 with 95% heterogeneity; only six studies used external validation, and calibration, decision curves and code were uncommon [67]. Deep learning did not show a stable advantage over conventional machine learning. An EDSS error of more than one point can cross clinically important thresholds, and discrimination alone does not indicate whether a predicted probability is trustworthy.</w:t>
      </w:r>
    </w:p>
    <w:p>
      <w:pPr/>
      <w:r>
        <w:rPr>
          <w:rFonts w:ascii="Times New Roman" w:hAnsi="Times New Roman"/>
          <w:sz w:val="22"/>
        </w:rPr>
        <w:t>Individual studies illustrate why attractive headline results need context. In 465 placebo-arm trial participants, raw multimodal MRI predicted one-year confirmed disability progression with AUC about 0.66, rising to about 0.70 after lesion masks were supplied [68]. A multi-centre study reported 83.3% accuracy for two-year EDSS worsening and 85.7% for a composite endpoint, but the held-out test comprised only 48 participants from the same network and calibration was not reported [69]. A radiomics model associated MRI features with disability in an external centre with a correlation around 0.73, yet the endpoint was cross-sectional EDSS rather than future decline [70]. Cross-sectional disability recognition and longitudinal prognosis should not be conflated.</w:t>
      </w:r>
    </w:p>
    <w:p>
      <w:pPr/>
      <w:r>
        <w:rPr>
          <w:rFonts w:ascii="Times New Roman" w:hAnsi="Times New Roman"/>
          <w:sz w:val="22"/>
        </w:rPr>
        <w:t>The same distinction applies to cognition. In 540 multi-centre patients, XGBoost classified Symbol Digit Modalities Test impairment with AUC around 0.74, with thalamic, cortical, hippocampal and lesion volumes contributing [71]. This is evidence of contemporaneous phenotype recognition, not prediction of future cognitive deterioration. For PIRA, the target itself is unstable. A systematic review found reported PIRA proportions ranging from 4% to 24% under different definitions [72], and a large MSBase comparison of hundreds of operational definitions showed substantial variation in event rate and persistence [73]. A model can be statistically precise yet clinically incoherent if its label changes with visit schedule, relapse window, EDSS confirmation rule or missing assessments.</w:t>
      </w:r>
    </w:p>
    <w:p>
      <w:pPr/>
      <w:r>
        <w:rPr>
          <w:rFonts w:ascii="Times New Roman" w:hAnsi="Times New Roman"/>
          <w:sz w:val="22"/>
        </w:rPr>
        <w:t>A three-centre study of 719 newly diagnosed patients used the first two years of data to predict PIRA in the third year and achieved a test AUC around 0.75; 24-month EDSS and age at onset were more influential than imaging [74]. Multimodal work incorporating MRI, neurofilament light and glial fibrillary acidic protein found spinal cord atrophy to be a stable predictor across two independent cohorts, but remained a high-dimensional feature-discovery analysis rather than a calibrated clinical tool [75]. Future work must separate prognosis under observed treatment from treatment-effect prediction. The latter requires a counterfactual design and cannot be inferred from ordinary risk association.</w:t>
      </w:r>
    </w:p>
    <w:p>
      <w:pPr/>
      <w:r>
        <w:rPr>
          <w:rFonts w:ascii="Times New Roman" w:hAnsi="Times New Roman"/>
          <w:sz w:val="22"/>
        </w:rPr>
        <w:t>Unsupervised phenotyping provides a stronger example of scale and independent replication. SuStaIn identified cortex-led, normal-appearing-white-matter-led and lesion-led MRI patterns in 6,322 patients and replicated them in 3,068 independent patients; the lesion-led pattern was associated with greater relapse and progression risk [76]. Treatment-response differences were exploratory subgroup findings rather than prescriptive evidence. A later latent disease-state model used approximately 8,000 trial participants, 118,000 visits and more than 35,000 MRI examinations and validated prespecified properties in independent trials and a real-world cohort [77]. These studies may refine disease taxonomy, but a reproducible state label is not equivalent to an individually calibrated prognosis or a treatment recommendation.</w:t>
      </w:r>
    </w:p>
    <w:p>
      <w:pPr>
        <w:pStyle w:val="Heading1"/>
      </w:pPr>
      <w:r>
        <w:rPr>
          <w:rFonts w:ascii="Times New Roman" w:hAnsi="Times New Roman"/>
          <w:sz w:val="28"/>
        </w:rPr>
        <w:t>5. Technical performance, evidence quality and reproducibility</w:t>
      </w:r>
    </w:p>
    <w:p>
      <w:pPr>
        <w:pStyle w:val="Heading2"/>
      </w:pPr>
      <w:r>
        <w:rPr>
          <w:rFonts w:ascii="Times New Roman" w:hAnsi="Times New Roman"/>
          <w:sz w:val="24"/>
        </w:rPr>
        <w:t>5.1 Validation hierarchy and metric fitness</w:t>
      </w:r>
    </w:p>
    <w:p>
      <w:pPr/>
      <w:r>
        <w:rPr>
          <w:rFonts w:ascii="Times New Roman" w:hAnsi="Times New Roman"/>
          <w:sz w:val="22"/>
        </w:rPr>
        <w:t>Validation labels should describe operational independence, not merely a random split. Subject-level cross-validation is appropriate for early development if preprocessing, augmentation and hyperparameter selection are nested. A same-institution hold-out estimates performance on the local pipeline. Leave-site-out testing within a coordinated trial adds scanner variation, but may still share eligibility, annotation and central processing. Geographically independent external validation changes institutional practice and is more persuasive. Temporal validation tests protocol drift. Prospective reader studies reveal interaction effects and automation bias. Only trials or robust quasi-experiments with patient-relevant endpoints can establish clinical benefit.</w:t>
      </w:r>
    </w:p>
    <w:p>
      <w:pPr/>
      <w:r>
        <w:rPr>
          <w:rFonts w:ascii="Times New Roman" w:hAnsi="Times New Roman"/>
          <w:sz w:val="22"/>
        </w:rPr>
        <w:t>Metrics should follow the intended decision. Dice rewards spatial overlap and is sensitive to lesion volume; it can be unstable for tiny lesions and undefined in negative cases. Lesion-wise sensitivity should be paired with false-positive lesions per scan and positive predictive value. Volume agreement needs bias and limits of agreement, not correlation alone. Diagnostic and prognostic models require sensitivity, specificity, predictive values at relevant prevalence, calibration intercept and slope, Brier score and decision-curve analysis. AUC is threshold-independent discrimination, not an estimate of clinical utility. Confidence intervals should be clustered by patient and, where relevant, site. Subgroups and failure cases should be prespecified rather than selected after inspection.</w:t>
      </w:r>
    </w:p>
    <w:p>
      <w:pPr>
        <w:pStyle w:val="Heading2"/>
      </w:pPr>
      <w:r>
        <w:rPr>
          <w:rFonts w:ascii="Times New Roman" w:hAnsi="Times New Roman"/>
          <w:sz w:val="24"/>
        </w:rPr>
        <w:t>5.2 Bias, explainability and reproducibility</w:t>
      </w:r>
    </w:p>
    <w:p>
      <w:pPr/>
      <w:r>
        <w:rPr>
          <w:rFonts w:ascii="Times New Roman" w:hAnsi="Times New Roman"/>
          <w:sz w:val="22"/>
        </w:rPr>
        <w:t>Patient leakage, spectrum bias, class imbalance and treatment-related confounding recur throughout the literature. Preprocessing can leak test-set statistics through intensity normalisation, template construction or site harmonisation. Extensive augmentation cannot create unobserved clinical diversity. Labels derived from reports or legacy software transfer their errors, while pseudo-labels can constrain a new model to imitate the old method. Missing data may be informative. Code release helps, but reproducibility also requires trained weights, preprocessing specifications, versioned dependencies, inference hardware, thresholds and test data access. Where data cannot be shared, executable containers, federated evaluation and locked challenge servers can reduce but not eliminate the gap.</w:t>
      </w:r>
    </w:p>
    <w:p>
      <w:pPr/>
      <w:r>
        <w:rPr>
          <w:rFonts w:ascii="Times New Roman" w:hAnsi="Times New Roman"/>
          <w:sz w:val="22"/>
        </w:rPr>
        <w:t>Explainability does not repair an invalid design. Saliency maps can reveal that a model attends to ventricles, lesions or image borders, but they are unstable and do not establish causal reasoning. More useful safety mechanisms include input-quality checks, out-of-distribution detection, calibrated uncertainty, lesion-level candidate display, comparison with prior examinations and explicit abstention. The reader must be able to distinguish “no lesion detected” from “image or model not reliable”. Reporting should document who can override output, how failures are logged, and which cases require manual review.</w:t>
      </w:r>
    </w:p>
    <w:p>
      <w:pPr/>
      <w:r>
        <w:rPr>
          <w:rFonts w:ascii="Times New Roman" w:hAnsi="Times New Roman"/>
          <w:sz w:val="22"/>
        </w:rPr>
        <w:t>Commercial studies often have access to larger and more realistic archives and can therefore produce valuable translational evidence. At the same time, proprietary labels, undisclosed exclusions, sponsor involvement in adjudication and lack of independent replication can increase risk of bias. Conflict of interest should prompt scrutiny of design and transparency rather than automatic dismissal. Independent post-market evaluation is especially important when software is updated, retrained or deployed across scanners not represented in regulatory testing.</w:t>
      </w:r>
    </w:p>
    <w:p>
      <w:pPr/>
      <w:r>
        <w:rPr>
          <w:rFonts w:ascii="Times New Roman" w:hAnsi="Times New Roman"/>
          <w:sz w:val="22"/>
        </w:rPr>
        <w:t>Figure 4 summarises the evidential discontinuities that headline metrics conceal. Validation scope must expand as acquisition and patient heterogeneity increase; generalisation and uncertainty should be assessed together; overlap metrics must be supplemented by calibration and decision analysis; and deployment must be evaluated as a monitored human–AI system rather than as a static model endpoint.</w:t>
      </w:r>
    </w:p>
    <w:p>
      <w:pPr>
        <w:keepNext/>
        <w:spacing w:before="120" w:after="0"/>
        <w:jc w:val="center"/>
      </w:pPr>
      <w:r>
        <w:drawing>
          <wp:inline xmlns:a="http://schemas.openxmlformats.org/drawingml/2006/main" xmlns:pic="http://schemas.openxmlformats.org/drawingml/2006/picture">
            <wp:extent cx="5688000" cy="3201201"/>
            <wp:docPr id="4" name="Picture 4" descr="Four panels show validation scope, generalisation under domain shift, decision evidence and monitored human-AI deployment." title="Evidence requirements for human-AI deployment"/>
            <wp:cNvGraphicFramePr>
              <a:graphicFrameLocks noChangeAspect="1"/>
            </wp:cNvGraphicFramePr>
            <a:graphic>
              <a:graphicData uri="http://schemas.openxmlformats.org/drawingml/2006/picture">
                <pic:pic>
                  <pic:nvPicPr>
                    <pic:cNvPr id="0" name="fig4_evidence_translation_landscape.png"/>
                    <pic:cNvPicPr/>
                  </pic:nvPicPr>
                  <pic:blipFill>
                    <a:blip r:embed="rId12"/>
                    <a:stretch>
                      <a:fillRect/>
                    </a:stretch>
                  </pic:blipFill>
                  <pic:spPr>
                    <a:xfrm>
                      <a:off x="0" y="0"/>
                      <a:ext cx="5688000" cy="3201201"/>
                    </a:xfrm>
                    <a:prstGeom prst="rect"/>
                  </pic:spPr>
                </pic:pic>
              </a:graphicData>
            </a:graphic>
          </wp:inline>
        </w:drawing>
      </w:r>
    </w:p>
    <w:p>
      <w:pPr>
        <w:pStyle w:val="Caption"/>
        <w:keepLines/>
        <w:spacing w:before="60" w:after="120" w:line="252" w:lineRule="auto"/>
        <w:jc w:val="left"/>
      </w:pPr>
      <w:r>
        <w:rPr>
          <w:rFonts w:ascii="Times New Roman" w:hAnsi="Times New Roman"/>
          <w:b/>
          <w:color w:val="243B64"/>
          <w:sz w:val="17"/>
        </w:rPr>
        <w:t>Figure 4. Evidence requirements from technical validation to monitored human–AI deployment.</w:t>
      </w:r>
      <w:r>
        <w:rPr>
          <w:rFonts w:ascii="Times New Roman" w:hAnsi="Times New Roman"/>
          <w:sz w:val="17"/>
        </w:rPr>
        <w:t xml:space="preserve"> (A) Validation becomes more persuasive as it moves from internal development to held-out, independent external and prospective routine-practice cohorts. (B) Under domain shift, performance may decline while uncertainty widens; acceptability must be defined for the intended use. (C) Spatial overlap and false positives should be supplemented by calibration and clinical decision or workflow analyses. (D) Clinical deployment requires editable output, neuroradiologist verification, multidisciplinary interpretation, patient-centred decisions and post-deployment monitoring of drift, failures and model versions. Curves are conceptual and contain no empirical performance values. The figure is an original AI-generated scientific illustration created for this survey.</w:t>
      </w:r>
    </w:p>
    <w:p>
      <w:pPr>
        <w:pStyle w:val="Heading1"/>
      </w:pPr>
      <w:r>
        <w:rPr>
          <w:rFonts w:ascii="Times New Roman" w:hAnsi="Times New Roman"/>
          <w:sz w:val="28"/>
        </w:rPr>
        <w:t>6. Clinical translation and deployment</w:t>
      </w:r>
    </w:p>
    <w:p>
      <w:pPr>
        <w:pStyle w:val="Heading2"/>
      </w:pPr>
      <w:r>
        <w:rPr>
          <w:rFonts w:ascii="Times New Roman" w:hAnsi="Times New Roman"/>
          <w:sz w:val="24"/>
        </w:rPr>
        <w:t>6.1 Regulatory status and intended use</w:t>
      </w:r>
    </w:p>
    <w:p>
      <w:pPr/>
      <w:r>
        <w:rPr>
          <w:rFonts w:ascii="Times New Roman" w:hAnsi="Times New Roman"/>
          <w:sz w:val="22"/>
        </w:rPr>
        <w:t>Technical validation, regulatory authorisation, workflow gain and patient benefit are distinct milestones. Regulatory clearance generally establishes substantial equivalence or specified performance for an intended use; it does not prove improvement in relapse control, disability or quality of life. Public FDA records describe lesion and brain-structure quantification functions for products such as Pixyl.Neuro, icobrain and newer NeuroQuant versions, with defined input sequences and performance testing [78–80]. The cleared indication, software version and compatible acquisition must be checked locally. For example, the icobrain longitudinal indication specifies matched scanner, protocol and contrast conditions. A model used outside that envelope—for example, a different field strength, paediatric population or synthesised sequence—enters a new risk context.</w:t>
      </w:r>
    </w:p>
    <w:p>
      <w:pPr>
        <w:pStyle w:val="Heading2"/>
      </w:pPr>
      <w:r>
        <w:rPr>
          <w:rFonts w:ascii="Times New Roman" w:hAnsi="Times New Roman"/>
          <w:sz w:val="24"/>
        </w:rPr>
        <w:t>6.2 Human–AI workflow and PACS integration</w:t>
      </w:r>
    </w:p>
    <w:p>
      <w:pPr/>
      <w:r>
        <w:rPr>
          <w:rFonts w:ascii="Times New Roman" w:hAnsi="Times New Roman"/>
          <w:sz w:val="22"/>
        </w:rPr>
        <w:t>The near-term value proposition is assistive. Automated lesion maps can pre-populate structured reports, highlight interval change and reduce repetitive measurement. Brain and spinal cord morphometry may make subtle longitudinal change visible. These functions can reduce reading time or increase sensitivity, but can also increase verification burden if false-positive candidates are numerous. Reader studies should measure total task time, edits, disagreements, confidence, missed activity, overcalls and downstream recommendations. Randomisation or counterbalanced reading order is important because the same reader rapidly learns the case. The comparator should be current best practice, which may include subtraction imaging or prior reports rather than unaided visual reading.</w:t>
      </w:r>
    </w:p>
    <w:p>
      <w:pPr/>
      <w:r>
        <w:rPr>
          <w:rFonts w:ascii="Times New Roman" w:hAnsi="Times New Roman"/>
          <w:sz w:val="22"/>
        </w:rPr>
        <w:t>Integration is as important as accuracy. A deployable service must receive the correct study and prior, verify sequence identity, handle incomplete examinations, preserve registration quality, return results to PACS or the reporting system, and expose provenance. Failure notifications should reach a named owner. Human verification should be efficient: editable contours, matched prior and current lesions, and concise uncertainty cues are preferable to opaque scores. Responsibility remains shared among manufacturer, institution and clinician; local governance must specify whether output is preliminary, what must be reviewed, and how discordance is resolved.</w:t>
      </w:r>
    </w:p>
    <w:p>
      <w:pPr>
        <w:pStyle w:val="Heading2"/>
      </w:pPr>
      <w:r>
        <w:rPr>
          <w:rFonts w:ascii="Times New Roman" w:hAnsi="Times New Roman"/>
          <w:sz w:val="24"/>
        </w:rPr>
        <w:t>6.3 Equity, economics and lifecycle monitoring</w:t>
      </w:r>
    </w:p>
    <w:p>
      <w:pPr/>
      <w:r>
        <w:rPr>
          <w:rFonts w:ascii="Times New Roman" w:hAnsi="Times New Roman"/>
          <w:sz w:val="22"/>
        </w:rPr>
        <w:t>Equity and cost are under-evaluated. Multi-centre does not necessarily mean demographically representative, particularly when public datasets originate from European or North American academic centres and trial eligibility excludes complex patients. Performance should be stratified across sex, age, race and ethnicity where legally and scientifically appropriate, disability, lesion burden, paediatric or late-onset disease, comorbidity, geography and scanner access. Cost-effectiveness requires more than minutes saved. It should include integration, computing, maintenance, false-positive work-up, repeat imaging, over-treatment, missed disease activity, cybersecurity and staff training. NICE concluded that the clinical and patient-benefit evidence for quantitative MS MRI software was limited and called for prospective comparative studies [81]. A manufacturer-associated simulation projected quality-adjusted life-year gains and annual savings, but omitted several major treatment, imaging and software costs and relied on strong switching assumptions [82]. Such models are hypothesis-generating, not evidence of realised cost-effectiveness. A system that improves sensitivity at the cost of many non-actionable alerts may have negative net value.</w:t>
      </w:r>
    </w:p>
    <w:p>
      <w:pPr/>
      <w:r>
        <w:rPr>
          <w:rFonts w:ascii="Times New Roman" w:hAnsi="Times New Roman"/>
          <w:sz w:val="22"/>
        </w:rPr>
        <w:t>Post-deployment monitoring closes the evidence loop. Institutions need baselines for data quality and performance, logs of failure and override, periodic review against manually adjudicated samples, and triggers for investigation after scanner upgrades or protocol changes. Model updates require version control and assessment for regression, subgroup drift and changed calibration. Federated learning may broaden representation without centralising data, but heterogeneous labels, privacy leakage, unequal site contribution and validation of each update remain unresolved. The trustworthy endpoint is not a model that never changes; it is a controlled learning system whose changes are visible, tested and reversible.</w:t>
      </w:r>
    </w:p>
    <w:p>
      <w:pPr>
        <w:sectPr>
          <w:pgSz w:w="11906" w:h="16838"/>
          <w:pgMar w:top="1440" w:right="1440" w:bottom="1440" w:left="1440" w:header="709" w:footer="709" w:gutter="0"/>
          <w:cols w:space="720"/>
          <w:titlePg/>
          <w:docGrid w:linePitch="360"/>
        </w:sectPr>
      </w:pPr>
    </w:p>
    <w:p>
      <w:pPr>
        <w:keepNext/>
        <w:spacing w:after="100" w:line="240" w:lineRule="auto"/>
      </w:pPr>
      <w:r>
        <w:rPr>
          <w:rFonts w:ascii="Times New Roman" w:hAnsi="Times New Roman"/>
          <w:b/>
          <w:color w:val="000000"/>
          <w:sz w:val="21"/>
        </w:rPr>
        <w:t>Table 3. Clinical translation readiness matrix</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gridCol w:w="1994"/>
        <w:gridCol w:w="1994"/>
      </w:tblGrid>
      <w:tr>
        <w:trPr>
          <w:tblHeader w:val="true"/>
          <w:cantSplit/>
        </w:trPr>
        <w:tc>
          <w:tcPr>
            <w:tcW w:type="dxa" w:w="1928"/>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Application</w:t>
            </w:r>
          </w:p>
        </w:tc>
        <w:tc>
          <w:tcPr>
            <w:tcW w:type="dxa" w:w="1814"/>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Technical validation</w:t>
            </w:r>
          </w:p>
        </w:tc>
        <w:tc>
          <w:tcPr>
            <w:tcW w:type="dxa" w:w="2154"/>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Independent cross-centre evidence</w:t>
            </w:r>
          </w:p>
        </w:tc>
        <w:tc>
          <w:tcPr>
            <w:tcW w:type="dxa" w:w="2211"/>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Prospective / workflow evidence</w:t>
            </w:r>
          </w:p>
        </w:tc>
        <w:tc>
          <w:tcPr>
            <w:tcW w:type="dxa" w:w="1984"/>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Regulatory position</w:t>
            </w:r>
          </w:p>
        </w:tc>
        <w:tc>
          <w:tcPr>
            <w:tcW w:type="dxa" w:w="1984"/>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Patient net-benefit evidence</w:t>
            </w:r>
          </w:p>
        </w:tc>
        <w:tc>
          <w:tcPr>
            <w:tcW w:type="dxa" w:w="2381"/>
            <w:vAlign w:val="center"/>
            <w:shd w:fill="EAF0F7"/>
            <w:tcMar>
              <w:top w:w="55" w:type="dxa"/>
              <w:start w:w="65" w:type="dxa"/>
              <w:bottom w:w="55" w:type="dxa"/>
              <w:end w:w="65" w:type="dxa"/>
            </w:tcMar>
          </w:tcPr>
          <w:p>
            <w:pPr>
              <w:spacing w:line="240" w:lineRule="auto" w:after="0"/>
              <w:jc w:val="left"/>
            </w:pPr>
            <w:r>
              <w:rPr>
                <w:rFonts w:ascii="Times New Roman" w:hAnsi="Times New Roman"/>
                <w:b/>
                <w:color w:val="000000"/>
                <w:sz w:val="14"/>
              </w:rPr>
              <w:t>Readiness judgement</w:t>
            </w:r>
          </w:p>
        </w:tc>
      </w:tr>
      <w:tr>
        <w:trPr>
          <w:cantSplit/>
        </w:trPr>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Brain WM lesion segmentation</w:t>
            </w:r>
          </w:p>
        </w:tc>
        <w:tc>
          <w:tcPr>
            <w:tcW w:type="dxa" w:w="1814"/>
            <w:vAlign w:val="center"/>
            <w:shd w:fill="FFFFFF"/>
            <w:tcMar>
              <w:top w:w="55" w:type="dxa"/>
              <w:start w:w="65" w:type="dxa"/>
              <w:bottom w:w="55" w:type="dxa"/>
              <w:end w:w="65" w:type="dxa"/>
            </w:tcMar>
          </w:tcPr>
          <w:p>
            <w:pPr>
              <w:spacing w:line="240" w:lineRule="auto" w:after="0"/>
            </w:pPr>
            <w:r>
              <w:rPr>
                <w:rFonts w:ascii="Times New Roman" w:hAnsi="Times New Roman"/>
                <w:sz w:val="14"/>
              </w:rPr>
              <w:t>High</w:t>
            </w:r>
          </w:p>
        </w:tc>
        <w:tc>
          <w:tcPr>
            <w:tcW w:type="dxa" w:w="2154"/>
            <w:vAlign w:val="center"/>
            <w:shd w:fill="FFFFFF"/>
            <w:tcMar>
              <w:top w:w="55" w:type="dxa"/>
              <w:start w:w="65" w:type="dxa"/>
              <w:bottom w:w="55" w:type="dxa"/>
              <w:end w:w="65" w:type="dxa"/>
            </w:tcMar>
          </w:tcPr>
          <w:p>
            <w:pPr>
              <w:spacing w:line="240" w:lineRule="auto" w:after="0"/>
            </w:pPr>
            <w:r>
              <w:rPr>
                <w:rFonts w:ascii="Times New Roman" w:hAnsi="Times New Roman"/>
                <w:sz w:val="14"/>
              </w:rPr>
              <w:t>Moderate; external loss is consistent</w:t>
            </w:r>
          </w:p>
        </w:tc>
        <w:tc>
          <w:tcPr>
            <w:tcW w:type="dxa" w:w="2211"/>
            <w:vAlign w:val="center"/>
            <w:shd w:fill="FFFFFF"/>
            <w:tcMar>
              <w:top w:w="55" w:type="dxa"/>
              <w:start w:w="65" w:type="dxa"/>
              <w:bottom w:w="55" w:type="dxa"/>
              <w:end w:w="65" w:type="dxa"/>
            </w:tcMar>
          </w:tcPr>
          <w:p>
            <w:pPr>
              <w:spacing w:line="240" w:lineRule="auto" w:after="0"/>
            </w:pPr>
            <w:r>
              <w:rPr>
                <w:rFonts w:ascii="Times New Roman" w:hAnsi="Times New Roman"/>
                <w:sz w:val="14"/>
              </w:rPr>
              <w:t>Limited reader studies</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Several cleared quantitative tools</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Absent</w:t>
            </w:r>
          </w:p>
        </w:tc>
        <w:tc>
          <w:tcPr>
            <w:tcW w:type="dxa" w:w="2381"/>
            <w:vAlign w:val="center"/>
            <w:shd w:fill="FFFFFF"/>
            <w:tcMar>
              <w:top w:w="55" w:type="dxa"/>
              <w:start w:w="65" w:type="dxa"/>
              <w:bottom w:w="55" w:type="dxa"/>
              <w:end w:w="65" w:type="dxa"/>
            </w:tcMar>
          </w:tcPr>
          <w:p>
            <w:pPr>
              <w:spacing w:line="240" w:lineRule="auto" w:after="0"/>
            </w:pPr>
            <w:r>
              <w:rPr>
                <w:rFonts w:ascii="Times New Roman" w:hAnsi="Times New Roman"/>
                <w:sz w:val="14"/>
              </w:rPr>
              <w:t>Near clinical use as editable quantitative assistance</w:t>
            </w:r>
          </w:p>
        </w:tc>
      </w:tr>
      <w:tr>
        <w:trPr>
          <w:cantSplit/>
        </w:trPr>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Longitudinal new/enlarging lesion monitoring</w:t>
            </w:r>
          </w:p>
        </w:tc>
        <w:tc>
          <w:tcPr>
            <w:tcW w:type="dxa" w:w="1814"/>
            <w:vAlign w:val="center"/>
            <w:shd w:fill="F4F6F8"/>
            <w:tcMar>
              <w:top w:w="55" w:type="dxa"/>
              <w:start w:w="65" w:type="dxa"/>
              <w:bottom w:w="55" w:type="dxa"/>
              <w:end w:w="65" w:type="dxa"/>
            </w:tcMar>
          </w:tcPr>
          <w:p>
            <w:pPr>
              <w:spacing w:line="240" w:lineRule="auto" w:after="0"/>
            </w:pPr>
            <w:r>
              <w:rPr>
                <w:rFonts w:ascii="Times New Roman" w:hAnsi="Times New Roman"/>
                <w:sz w:val="14"/>
              </w:rPr>
              <w:t>High for candidate detection</w:t>
            </w:r>
          </w:p>
        </w:tc>
        <w:tc>
          <w:tcPr>
            <w:tcW w:type="dxa" w:w="2154"/>
            <w:vAlign w:val="center"/>
            <w:shd w:fill="F4F6F8"/>
            <w:tcMar>
              <w:top w:w="55" w:type="dxa"/>
              <w:start w:w="65" w:type="dxa"/>
              <w:bottom w:w="55" w:type="dxa"/>
              <w:end w:w="65" w:type="dxa"/>
            </w:tcMar>
          </w:tcPr>
          <w:p>
            <w:pPr>
              <w:spacing w:line="240" w:lineRule="auto" w:after="0"/>
            </w:pPr>
            <w:r>
              <w:rPr>
                <w:rFonts w:ascii="Times New Roman" w:hAnsi="Times New Roman"/>
                <w:sz w:val="14"/>
              </w:rPr>
              <w:t>Moderate; retrospective multi-centre signal</w:t>
            </w:r>
          </w:p>
        </w:tc>
        <w:tc>
          <w:tcPr>
            <w:tcW w:type="dxa" w:w="2211"/>
            <w:vAlign w:val="center"/>
            <w:shd w:fill="F4F6F8"/>
            <w:tcMar>
              <w:top w:w="55" w:type="dxa"/>
              <w:start w:w="65" w:type="dxa"/>
              <w:bottom w:w="55" w:type="dxa"/>
              <w:end w:w="65" w:type="dxa"/>
            </w:tcMar>
          </w:tcPr>
          <w:p>
            <w:pPr>
              <w:spacing w:line="240" w:lineRule="auto" w:after="0"/>
            </w:pPr>
            <w:r>
              <w:rPr>
                <w:rFonts w:ascii="Times New Roman" w:hAnsi="Times New Roman"/>
                <w:sz w:val="14"/>
              </w:rPr>
              <w:t>Small crossover and time studies; failure burden documented</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Included in some cleared products under constrained inputs</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No completed outcome trial</w:t>
            </w:r>
          </w:p>
        </w:tc>
        <w:tc>
          <w:tcPr>
            <w:tcW w:type="dxa" w:w="2381"/>
            <w:vAlign w:val="center"/>
            <w:shd w:fill="F4F6F8"/>
            <w:tcMar>
              <w:top w:w="55" w:type="dxa"/>
              <w:start w:w="65" w:type="dxa"/>
              <w:bottom w:w="55" w:type="dxa"/>
              <w:end w:w="65" w:type="dxa"/>
            </w:tcMar>
          </w:tcPr>
          <w:p>
            <w:pPr>
              <w:spacing w:line="240" w:lineRule="auto" w:after="0"/>
            </w:pPr>
            <w:r>
              <w:rPr>
                <w:rFonts w:ascii="Times New Roman" w:hAnsi="Times New Roman"/>
                <w:sz w:val="14"/>
              </w:rPr>
              <w:t>Strongest translational case as supervised second reader</w:t>
            </w:r>
          </w:p>
        </w:tc>
      </w:tr>
      <w:tr>
        <w:trPr>
          <w:cantSplit/>
        </w:trPr>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Brain/tissue atrophy quantification</w:t>
            </w:r>
          </w:p>
        </w:tc>
        <w:tc>
          <w:tcPr>
            <w:tcW w:type="dxa" w:w="1814"/>
            <w:vAlign w:val="center"/>
            <w:shd w:fill="FFFFFF"/>
            <w:tcMar>
              <w:top w:w="55" w:type="dxa"/>
              <w:start w:w="65" w:type="dxa"/>
              <w:bottom w:w="55" w:type="dxa"/>
              <w:end w:w="65" w:type="dxa"/>
            </w:tcMar>
          </w:tcPr>
          <w:p>
            <w:pPr>
              <w:spacing w:line="240" w:lineRule="auto" w:after="0"/>
            </w:pPr>
            <w:r>
              <w:rPr>
                <w:rFonts w:ascii="Times New Roman" w:hAnsi="Times New Roman"/>
                <w:sz w:val="14"/>
              </w:rPr>
              <w:t>High cross-sectionally; moderate longitudinally</w:t>
            </w:r>
          </w:p>
        </w:tc>
        <w:tc>
          <w:tcPr>
            <w:tcW w:type="dxa" w:w="2154"/>
            <w:vAlign w:val="center"/>
            <w:shd w:fill="FFFFFF"/>
            <w:tcMar>
              <w:top w:w="55" w:type="dxa"/>
              <w:start w:w="65" w:type="dxa"/>
              <w:bottom w:w="55" w:type="dxa"/>
              <w:end w:w="65" w:type="dxa"/>
            </w:tcMar>
          </w:tcPr>
          <w:p>
            <w:pPr>
              <w:spacing w:line="240" w:lineRule="auto" w:after="0"/>
            </w:pPr>
            <w:r>
              <w:rPr>
                <w:rFonts w:ascii="Times New Roman" w:hAnsi="Times New Roman"/>
                <w:sz w:val="14"/>
              </w:rPr>
              <w:t>Moderate in trials; protocol-sensitive</w:t>
            </w:r>
          </w:p>
        </w:tc>
        <w:tc>
          <w:tcPr>
            <w:tcW w:type="dxa" w:w="2211"/>
            <w:vAlign w:val="center"/>
            <w:shd w:fill="FFFFFF"/>
            <w:tcMar>
              <w:top w:w="55" w:type="dxa"/>
              <w:start w:w="65" w:type="dxa"/>
              <w:bottom w:w="55" w:type="dxa"/>
              <w:end w:w="65" w:type="dxa"/>
            </w:tcMar>
          </w:tcPr>
          <w:p>
            <w:pPr>
              <w:spacing w:line="240" w:lineRule="auto" w:after="0"/>
            </w:pPr>
            <w:r>
              <w:rPr>
                <w:rFonts w:ascii="Times New Roman" w:hAnsi="Times New Roman"/>
                <w:sz w:val="14"/>
              </w:rPr>
              <w:t>Sparse</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Cleared volumetry tools exist</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Absent; cost models assumption-heavy</w:t>
            </w:r>
          </w:p>
        </w:tc>
        <w:tc>
          <w:tcPr>
            <w:tcW w:type="dxa" w:w="2381"/>
            <w:vAlign w:val="center"/>
            <w:shd w:fill="FFFFFF"/>
            <w:tcMar>
              <w:top w:w="55" w:type="dxa"/>
              <w:start w:w="65" w:type="dxa"/>
              <w:bottom w:w="55" w:type="dxa"/>
              <w:end w:w="65" w:type="dxa"/>
            </w:tcMar>
          </w:tcPr>
          <w:p>
            <w:pPr>
              <w:spacing w:line="240" w:lineRule="auto" w:after="0"/>
            </w:pPr>
            <w:r>
              <w:rPr>
                <w:rFonts w:ascii="Times New Roman" w:hAnsi="Times New Roman"/>
                <w:sz w:val="14"/>
              </w:rPr>
              <w:t>Useful adjunct when acquisition and software versions are stable</w:t>
            </w:r>
          </w:p>
        </w:tc>
      </w:tr>
      <w:tr>
        <w:trPr>
          <w:cantSplit/>
        </w:trPr>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Cord contour / spinal lesion analysis</w:t>
            </w:r>
          </w:p>
        </w:tc>
        <w:tc>
          <w:tcPr>
            <w:tcW w:type="dxa" w:w="1814"/>
            <w:vAlign w:val="center"/>
            <w:shd w:fill="F4F6F8"/>
            <w:tcMar>
              <w:top w:w="55" w:type="dxa"/>
              <w:start w:w="65" w:type="dxa"/>
              <w:bottom w:w="55" w:type="dxa"/>
              <w:end w:w="65" w:type="dxa"/>
            </w:tcMar>
          </w:tcPr>
          <w:p>
            <w:pPr>
              <w:spacing w:line="240" w:lineRule="auto" w:after="0"/>
            </w:pPr>
            <w:r>
              <w:rPr>
                <w:rFonts w:ascii="Times New Roman" w:hAnsi="Times New Roman"/>
                <w:sz w:val="14"/>
              </w:rPr>
              <w:t>High for cord; moderate for lesions</w:t>
            </w:r>
          </w:p>
        </w:tc>
        <w:tc>
          <w:tcPr>
            <w:tcW w:type="dxa" w:w="2154"/>
            <w:vAlign w:val="center"/>
            <w:shd w:fill="F4F6F8"/>
            <w:tcMar>
              <w:top w:w="55" w:type="dxa"/>
              <w:start w:w="65" w:type="dxa"/>
              <w:bottom w:w="55" w:type="dxa"/>
              <w:end w:w="65" w:type="dxa"/>
            </w:tcMar>
          </w:tcPr>
          <w:p>
            <w:pPr>
              <w:spacing w:line="240" w:lineRule="auto" w:after="0"/>
            </w:pPr>
            <w:r>
              <w:rPr>
                <w:rFonts w:ascii="Times New Roman" w:hAnsi="Times New Roman"/>
                <w:sz w:val="14"/>
              </w:rPr>
              <w:t>Moderate technical evidence</w:t>
            </w:r>
          </w:p>
        </w:tc>
        <w:tc>
          <w:tcPr>
            <w:tcW w:type="dxa" w:w="2211"/>
            <w:vAlign w:val="center"/>
            <w:shd w:fill="F4F6F8"/>
            <w:tcMar>
              <w:top w:w="55" w:type="dxa"/>
              <w:start w:w="65" w:type="dxa"/>
              <w:bottom w:w="55" w:type="dxa"/>
              <w:end w:w="65" w:type="dxa"/>
            </w:tcMar>
          </w:tcPr>
          <w:p>
            <w:pPr>
              <w:spacing w:line="240" w:lineRule="auto" w:after="0"/>
            </w:pPr>
            <w:r>
              <w:rPr>
                <w:rFonts w:ascii="Times New Roman" w:hAnsi="Times New Roman"/>
                <w:sz w:val="14"/>
              </w:rPr>
              <w:t>Absent</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No MS-specific patient-benefit indication identified</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Absent</w:t>
            </w:r>
          </w:p>
        </w:tc>
        <w:tc>
          <w:tcPr>
            <w:tcW w:type="dxa" w:w="2381"/>
            <w:vAlign w:val="center"/>
            <w:shd w:fill="F4F6F8"/>
            <w:tcMar>
              <w:top w:w="55" w:type="dxa"/>
              <w:start w:w="65" w:type="dxa"/>
              <w:bottom w:w="55" w:type="dxa"/>
              <w:end w:w="65" w:type="dxa"/>
            </w:tcMar>
          </w:tcPr>
          <w:p>
            <w:pPr>
              <w:spacing w:line="240" w:lineRule="auto" w:after="0"/>
            </w:pPr>
            <w:r>
              <w:rPr>
                <w:rFonts w:ascii="Times New Roman" w:hAnsi="Times New Roman"/>
                <w:sz w:val="14"/>
              </w:rPr>
              <w:t>Cord morphometry nearer use than lesion automation</w:t>
            </w:r>
          </w:p>
        </w:tc>
      </w:tr>
      <w:tr>
        <w:trPr>
          <w:cantSplit/>
        </w:trPr>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Cortical lesions, CVS and PRL</w:t>
            </w:r>
          </w:p>
        </w:tc>
        <w:tc>
          <w:tcPr>
            <w:tcW w:type="dxa" w:w="1814"/>
            <w:vAlign w:val="center"/>
            <w:shd w:fill="FFFFFF"/>
            <w:tcMar>
              <w:top w:w="55" w:type="dxa"/>
              <w:start w:w="65" w:type="dxa"/>
              <w:bottom w:w="55" w:type="dxa"/>
              <w:end w:w="65" w:type="dxa"/>
            </w:tcMar>
          </w:tcPr>
          <w:p>
            <w:pPr>
              <w:spacing w:line="240" w:lineRule="auto" w:after="0"/>
            </w:pPr>
            <w:r>
              <w:rPr>
                <w:rFonts w:ascii="Times New Roman" w:hAnsi="Times New Roman"/>
                <w:sz w:val="14"/>
              </w:rPr>
              <w:t>Moderate in specialist data</w:t>
            </w:r>
          </w:p>
        </w:tc>
        <w:tc>
          <w:tcPr>
            <w:tcW w:type="dxa" w:w="2154"/>
            <w:vAlign w:val="center"/>
            <w:shd w:fill="FFFFFF"/>
            <w:tcMar>
              <w:top w:w="55" w:type="dxa"/>
              <w:start w:w="65" w:type="dxa"/>
              <w:bottom w:w="55" w:type="dxa"/>
              <w:end w:w="65" w:type="dxa"/>
            </w:tcMar>
          </w:tcPr>
          <w:p>
            <w:pPr>
              <w:spacing w:line="240" w:lineRule="auto" w:after="0"/>
            </w:pPr>
            <w:r>
              <w:rPr>
                <w:rFonts w:ascii="Times New Roman" w:hAnsi="Times New Roman"/>
                <w:sz w:val="14"/>
              </w:rPr>
              <w:t>Low to moderate; external sets small</w:t>
            </w:r>
          </w:p>
        </w:tc>
        <w:tc>
          <w:tcPr>
            <w:tcW w:type="dxa" w:w="2211"/>
            <w:vAlign w:val="center"/>
            <w:shd w:fill="FFFFFF"/>
            <w:tcMar>
              <w:top w:w="55" w:type="dxa"/>
              <w:start w:w="65" w:type="dxa"/>
              <w:bottom w:w="55" w:type="dxa"/>
              <w:end w:w="65" w:type="dxa"/>
            </w:tcMar>
          </w:tcPr>
          <w:p>
            <w:pPr>
              <w:spacing w:line="240" w:lineRule="auto" w:after="0"/>
            </w:pPr>
            <w:r>
              <w:rPr>
                <w:rFonts w:ascii="Times New Roman" w:hAnsi="Times New Roman"/>
                <w:sz w:val="14"/>
              </w:rPr>
              <w:t>Absent</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No autonomous diagnostic indication identified</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Absent</w:t>
            </w:r>
          </w:p>
        </w:tc>
        <w:tc>
          <w:tcPr>
            <w:tcW w:type="dxa" w:w="2381"/>
            <w:vAlign w:val="center"/>
            <w:shd w:fill="FFFFFF"/>
            <w:tcMar>
              <w:top w:w="55" w:type="dxa"/>
              <w:start w:w="65" w:type="dxa"/>
              <w:bottom w:w="55" w:type="dxa"/>
              <w:end w:w="65" w:type="dxa"/>
            </w:tcMar>
          </w:tcPr>
          <w:p>
            <w:pPr>
              <w:spacing w:line="240" w:lineRule="auto" w:after="0"/>
            </w:pPr>
            <w:r>
              <w:rPr>
                <w:rFonts w:ascii="Times New Roman" w:hAnsi="Times New Roman"/>
                <w:sz w:val="14"/>
              </w:rPr>
              <w:t>Research/specialist adjunct; end-to-end validation required</w:t>
            </w:r>
          </w:p>
        </w:tc>
      </w:tr>
      <w:tr>
        <w:trPr>
          <w:cantSplit/>
        </w:trPr>
        <w:tc>
          <w:tcPr>
            <w:tcW w:type="dxa" w:w="1928"/>
            <w:vAlign w:val="center"/>
            <w:shd w:fill="F4F6F8"/>
            <w:tcMar>
              <w:top w:w="55" w:type="dxa"/>
              <w:start w:w="65" w:type="dxa"/>
              <w:bottom w:w="55" w:type="dxa"/>
              <w:end w:w="65" w:type="dxa"/>
            </w:tcMar>
          </w:tcPr>
          <w:p>
            <w:pPr>
              <w:spacing w:line="240" w:lineRule="auto" w:after="0"/>
            </w:pPr>
            <w:r>
              <w:rPr>
                <w:rFonts w:ascii="Times New Roman" w:hAnsi="Times New Roman"/>
                <w:sz w:val="14"/>
              </w:rPr>
              <w:t>MS diagnosis / differential diagnosis</w:t>
            </w:r>
          </w:p>
        </w:tc>
        <w:tc>
          <w:tcPr>
            <w:tcW w:type="dxa" w:w="1814"/>
            <w:vAlign w:val="center"/>
            <w:shd w:fill="F4F6F8"/>
            <w:tcMar>
              <w:top w:w="55" w:type="dxa"/>
              <w:start w:w="65" w:type="dxa"/>
              <w:bottom w:w="55" w:type="dxa"/>
              <w:end w:w="65" w:type="dxa"/>
            </w:tcMar>
          </w:tcPr>
          <w:p>
            <w:pPr>
              <w:spacing w:line="240" w:lineRule="auto" w:after="0"/>
            </w:pPr>
            <w:r>
              <w:rPr>
                <w:rFonts w:ascii="Times New Roman" w:hAnsi="Times New Roman"/>
                <w:sz w:val="14"/>
              </w:rPr>
              <w:t>Moderate discrimination</w:t>
            </w:r>
          </w:p>
        </w:tc>
        <w:tc>
          <w:tcPr>
            <w:tcW w:type="dxa" w:w="2154"/>
            <w:vAlign w:val="center"/>
            <w:shd w:fill="F4F6F8"/>
            <w:tcMar>
              <w:top w:w="55" w:type="dxa"/>
              <w:start w:w="65" w:type="dxa"/>
              <w:bottom w:w="55" w:type="dxa"/>
              <w:end w:w="65" w:type="dxa"/>
            </w:tcMar>
          </w:tcPr>
          <w:p>
            <w:pPr>
              <w:spacing w:line="240" w:lineRule="auto" w:after="0"/>
            </w:pPr>
            <w:r>
              <w:rPr>
                <w:rFonts w:ascii="Times New Roman" w:hAnsi="Times New Roman"/>
                <w:sz w:val="14"/>
              </w:rPr>
              <w:t>Low; spectrum often artificial</w:t>
            </w:r>
          </w:p>
        </w:tc>
        <w:tc>
          <w:tcPr>
            <w:tcW w:type="dxa" w:w="2211"/>
            <w:vAlign w:val="center"/>
            <w:shd w:fill="F4F6F8"/>
            <w:tcMar>
              <w:top w:w="55" w:type="dxa"/>
              <w:start w:w="65" w:type="dxa"/>
              <w:bottom w:w="55" w:type="dxa"/>
              <w:end w:w="65" w:type="dxa"/>
            </w:tcMar>
          </w:tcPr>
          <w:p>
            <w:pPr>
              <w:spacing w:line="240" w:lineRule="auto" w:after="0"/>
            </w:pPr>
            <w:r>
              <w:rPr>
                <w:rFonts w:ascii="Times New Roman" w:hAnsi="Times New Roman"/>
                <w:sz w:val="14"/>
              </w:rPr>
              <w:t>Absent</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No autonomous MS diagnosis clearance identified</w:t>
            </w:r>
          </w:p>
        </w:tc>
        <w:tc>
          <w:tcPr>
            <w:tcW w:type="dxa" w:w="1984"/>
            <w:vAlign w:val="center"/>
            <w:shd w:fill="F4F6F8"/>
            <w:tcMar>
              <w:top w:w="55" w:type="dxa"/>
              <w:start w:w="65" w:type="dxa"/>
              <w:bottom w:w="55" w:type="dxa"/>
              <w:end w:w="65" w:type="dxa"/>
            </w:tcMar>
          </w:tcPr>
          <w:p>
            <w:pPr>
              <w:spacing w:line="240" w:lineRule="auto" w:after="0"/>
            </w:pPr>
            <w:r>
              <w:rPr>
                <w:rFonts w:ascii="Times New Roman" w:hAnsi="Times New Roman"/>
                <w:sz w:val="14"/>
              </w:rPr>
              <w:t>Absent</w:t>
            </w:r>
          </w:p>
        </w:tc>
        <w:tc>
          <w:tcPr>
            <w:tcW w:type="dxa" w:w="2381"/>
            <w:vAlign w:val="center"/>
            <w:shd w:fill="F4F6F8"/>
            <w:tcMar>
              <w:top w:w="55" w:type="dxa"/>
              <w:start w:w="65" w:type="dxa"/>
              <w:bottom w:w="55" w:type="dxa"/>
              <w:end w:w="65" w:type="dxa"/>
            </w:tcMar>
          </w:tcPr>
          <w:p>
            <w:pPr>
              <w:spacing w:line="240" w:lineRule="auto" w:after="0"/>
            </w:pPr>
            <w:r>
              <w:rPr>
                <w:rFonts w:ascii="Times New Roman" w:hAnsi="Times New Roman"/>
                <w:sz w:val="14"/>
              </w:rPr>
              <w:t>Technical validation stage; image-only use is inappropriate</w:t>
            </w:r>
          </w:p>
        </w:tc>
      </w:tr>
      <w:tr>
        <w:trPr>
          <w:cantSplit/>
        </w:trPr>
        <w:tc>
          <w:tcPr>
            <w:tcW w:type="dxa" w:w="1928"/>
            <w:vAlign w:val="center"/>
            <w:shd w:fill="FFFFFF"/>
            <w:tcMar>
              <w:top w:w="55" w:type="dxa"/>
              <w:start w:w="65" w:type="dxa"/>
              <w:bottom w:w="55" w:type="dxa"/>
              <w:end w:w="65" w:type="dxa"/>
            </w:tcMar>
          </w:tcPr>
          <w:p>
            <w:pPr>
              <w:spacing w:line="240" w:lineRule="auto" w:after="0"/>
            </w:pPr>
            <w:r>
              <w:rPr>
                <w:rFonts w:ascii="Times New Roman" w:hAnsi="Times New Roman"/>
                <w:sz w:val="14"/>
              </w:rPr>
              <w:t>EDSS, PIRA, cognition or treatment prediction</w:t>
            </w:r>
          </w:p>
        </w:tc>
        <w:tc>
          <w:tcPr>
            <w:tcW w:type="dxa" w:w="1814"/>
            <w:vAlign w:val="center"/>
            <w:shd w:fill="FFFFFF"/>
            <w:tcMar>
              <w:top w:w="55" w:type="dxa"/>
              <w:start w:w="65" w:type="dxa"/>
              <w:bottom w:w="55" w:type="dxa"/>
              <w:end w:w="65" w:type="dxa"/>
            </w:tcMar>
          </w:tcPr>
          <w:p>
            <w:pPr>
              <w:spacing w:line="240" w:lineRule="auto" w:after="0"/>
            </w:pPr>
            <w:r>
              <w:rPr>
                <w:rFonts w:ascii="Times New Roman" w:hAnsi="Times New Roman"/>
                <w:sz w:val="14"/>
              </w:rPr>
              <w:t>Moderate and heterogeneous</w:t>
            </w:r>
          </w:p>
        </w:tc>
        <w:tc>
          <w:tcPr>
            <w:tcW w:type="dxa" w:w="2154"/>
            <w:vAlign w:val="center"/>
            <w:shd w:fill="FFFFFF"/>
            <w:tcMar>
              <w:top w:w="55" w:type="dxa"/>
              <w:start w:w="65" w:type="dxa"/>
              <w:bottom w:w="55" w:type="dxa"/>
              <w:end w:w="65" w:type="dxa"/>
            </w:tcMar>
          </w:tcPr>
          <w:p>
            <w:pPr>
              <w:spacing w:line="240" w:lineRule="auto" w:after="0"/>
            </w:pPr>
            <w:r>
              <w:rPr>
                <w:rFonts w:ascii="Times New Roman" w:hAnsi="Times New Roman"/>
                <w:sz w:val="14"/>
              </w:rPr>
              <w:t>Low; calibration rarely reported</w:t>
            </w:r>
          </w:p>
        </w:tc>
        <w:tc>
          <w:tcPr>
            <w:tcW w:type="dxa" w:w="2211"/>
            <w:vAlign w:val="center"/>
            <w:shd w:fill="FFFFFF"/>
            <w:tcMar>
              <w:top w:w="55" w:type="dxa"/>
              <w:start w:w="65" w:type="dxa"/>
              <w:bottom w:w="55" w:type="dxa"/>
              <w:end w:w="65" w:type="dxa"/>
            </w:tcMar>
          </w:tcPr>
          <w:p>
            <w:pPr>
              <w:spacing w:line="240" w:lineRule="auto" w:after="0"/>
            </w:pPr>
            <w:r>
              <w:rPr>
                <w:rFonts w:ascii="Times New Roman" w:hAnsi="Times New Roman"/>
                <w:sz w:val="14"/>
              </w:rPr>
              <w:t>Absent</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No clinical prediction indication identified</w:t>
            </w:r>
          </w:p>
        </w:tc>
        <w:tc>
          <w:tcPr>
            <w:tcW w:type="dxa" w:w="1984"/>
            <w:vAlign w:val="center"/>
            <w:shd w:fill="FFFFFF"/>
            <w:tcMar>
              <w:top w:w="55" w:type="dxa"/>
              <w:start w:w="65" w:type="dxa"/>
              <w:bottom w:w="55" w:type="dxa"/>
              <w:end w:w="65" w:type="dxa"/>
            </w:tcMar>
          </w:tcPr>
          <w:p>
            <w:pPr>
              <w:spacing w:line="240" w:lineRule="auto" w:after="0"/>
            </w:pPr>
            <w:r>
              <w:rPr>
                <w:rFonts w:ascii="Times New Roman" w:hAnsi="Times New Roman"/>
                <w:sz w:val="14"/>
              </w:rPr>
              <w:t>Absent</w:t>
            </w:r>
          </w:p>
        </w:tc>
        <w:tc>
          <w:tcPr>
            <w:tcW w:type="dxa" w:w="2381"/>
            <w:vAlign w:val="center"/>
            <w:shd w:fill="FFFFFF"/>
            <w:tcMar>
              <w:top w:w="55" w:type="dxa"/>
              <w:start w:w="65" w:type="dxa"/>
              <w:bottom w:w="55" w:type="dxa"/>
              <w:end w:w="65" w:type="dxa"/>
            </w:tcMar>
          </w:tcPr>
          <w:p>
            <w:pPr>
              <w:spacing w:line="240" w:lineRule="auto" w:after="0"/>
            </w:pPr>
            <w:r>
              <w:rPr>
                <w:rFonts w:ascii="Times New Roman" w:hAnsi="Times New Roman"/>
                <w:sz w:val="14"/>
              </w:rPr>
              <w:t>Research stage; do not use for individual treatment choice</w:t>
            </w:r>
          </w:p>
        </w:tc>
      </w:tr>
    </w:tbl>
    <w:p>
      <w:pPr>
        <w:spacing w:before="80" w:after="0" w:line="240" w:lineRule="auto"/>
      </w:pPr>
      <w:r>
        <w:rPr>
          <w:rFonts w:ascii="Times New Roman" w:hAnsi="Times New Roman"/>
          <w:b/>
          <w:sz w:val="14"/>
        </w:rPr>
        <w:t xml:space="preserve">Note: </w:t>
      </w:r>
      <w:r>
        <w:rPr>
          <w:rFonts w:ascii="Times New Roman" w:hAnsi="Times New Roman"/>
          <w:sz w:val="14"/>
        </w:rPr>
        <w:t>Readiness integrates evidence quality rather than algorithm availability. Regulatory clearance is product-, version-, input- and intended-use-specific and is not equivalent to demonstrated workflow or patient benefit.</w:t>
      </w:r>
    </w:p>
    <w:p>
      <w:pPr>
        <w:sectPr>
          <w:pgSz w:w="16838" w:h="11906" w:orient="landscape"/>
          <w:pgMar w:top="1440" w:right="1440" w:bottom="1440" w:left="1440" w:header="709" w:footer="709" w:gutter="0"/>
          <w:cols w:space="720"/>
          <w:titlePg/>
          <w:docGrid w:linePitch="360"/>
        </w:sectPr>
      </w:pPr>
    </w:p>
    <w:p>
      <w:pPr>
        <w:pStyle w:val="Heading1"/>
      </w:pPr>
      <w:r>
        <w:rPr>
          <w:rFonts w:ascii="Times New Roman" w:hAnsi="Times New Roman"/>
          <w:sz w:val="28"/>
        </w:rPr>
        <w:t>7. Research agenda</w:t>
      </w:r>
    </w:p>
    <w:p>
      <w:pPr/>
      <w:r>
        <w:rPr>
          <w:rFonts w:ascii="Times New Roman" w:hAnsi="Times New Roman"/>
          <w:sz w:val="22"/>
        </w:rPr>
        <w:t>First, the field needs prospective, geographically distributed validation designed around intended use. Consecutive routine cases should be enrolled before outcomes are known, with patient-level and site-level separation, explicit missingness and adjudication of indeterminate scans. Brain and spinal cord protocols, contrast use and prior availability should reflect practice. Small-lesion and no-activity cases require deliberate sampling, and paediatric, progressive, comorbid and underrepresented populations should not be relegated to post hoc subgroup analysis.</w:t>
      </w:r>
    </w:p>
    <w:p>
      <w:pPr/>
      <w:r>
        <w:rPr>
          <w:rFonts w:ascii="Times New Roman" w:hAnsi="Times New Roman"/>
          <w:sz w:val="22"/>
        </w:rPr>
        <w:t>Second, endpoints must move beyond aggregate overlap. For monitoring, prespecified outcomes could include actionable activity detected, false alerts per examination, reading time, confidence, report amendments, repeat imaging, treatment changes and inappropriate escalation. For prognosis, calibration and net benefit at defined time horizons are essential, as are clear time zero, treatment handling and stable definitions of progression. Patient outcomes may require cluster-randomised or stepped-wedge implementation studies, because the intervention is a human–AI workflow rather than a standalone model. The ongoing three-centre AssistMS randomised study is an important example because it includes disease-activity detection, treatment changes, reporting time and incremental cost per quality-adjusted life-year; its planned completion after the review cutoff means that no outcome claim can yet be made [83].</w:t>
      </w:r>
    </w:p>
    <w:p>
      <w:pPr/>
      <w:r>
        <w:rPr>
          <w:rFonts w:ascii="Times New Roman" w:hAnsi="Times New Roman"/>
          <w:sz w:val="22"/>
        </w:rPr>
        <w:t>Third, open benchmarks should evolve from static leaderboards to versioned test ecosystems. Hidden multi-centre sets, longitudinal negative cases, scanner upgrades and adjudicated failure subsets would make overfitting harder. Data cards should report unique patients separately from sessions, demographics, disease phenotype, therapy, site, scanner, sequence parameters, preprocessing, rater process, licence and intended use. Evaluation servers can support restricted images, but results should remain auditable and repeated submissions controlled. Public challenges should include calibration, uncertainty and computational requirements as well as segmentation metrics.</w:t>
      </w:r>
    </w:p>
    <w:p>
      <w:pPr/>
      <w:r>
        <w:rPr>
          <w:rFonts w:ascii="Times New Roman" w:hAnsi="Times New Roman"/>
          <w:sz w:val="22"/>
        </w:rPr>
        <w:t>Fourth, data collaboration should be paired with reproducibility. Federated learning, privacy-preserving analysis and common data models can access distributed cohorts, but should be compared with simpler site-diverse training and external evaluation. Where proprietary trials drive development, an independent public or regulator-accessible test should be prespecified. Models should be distributed with executable preprocessing and versioned weights whenever permissible. Negative external results and failure analyses deserve publication because they define the boundary of safe use.</w:t>
      </w:r>
    </w:p>
    <w:p>
      <w:pPr/>
      <w:r>
        <w:rPr>
          <w:rFonts w:ascii="Times New Roman" w:hAnsi="Times New Roman"/>
          <w:sz w:val="22"/>
        </w:rPr>
        <w:t>Finally, imaging AI should be developed as measurement infrastructure rather than as a substitute diagnostician. Modular systems can expose image quality, registration, lesion candidates, volumes and uncertainty so that each component is testable. Diagnostic or prognostic layers should integrate clinical and laboratory information only when those inputs are available at the intended decision point. The most valuable model may not be the largest or most complex; it may be the one that is stable across time, abstains appropriately, reduces cognitive load and generates measurements clinicians and patients can understand.</w:t>
      </w:r>
    </w:p>
    <w:p>
      <w:pPr>
        <w:pStyle w:val="Heading1"/>
      </w:pPr>
      <w:r>
        <w:rPr>
          <w:rFonts w:ascii="Times New Roman" w:hAnsi="Times New Roman"/>
          <w:sz w:val="28"/>
        </w:rPr>
        <w:t>8. Conclusion</w:t>
      </w:r>
    </w:p>
    <w:p>
      <w:pPr/>
      <w:r>
        <w:rPr>
          <w:rFonts w:ascii="Times New Roman" w:hAnsi="Times New Roman"/>
          <w:sz w:val="22"/>
        </w:rPr>
        <w:t>AI in MS MRI has progressed from small algorithm demonstrations to multi-centre segmentation systems, longitudinal readers and quantitative pipelines with early workflow evidence. Brain white-matter lesion segmentation, tissue quantification and detection of new or enlarging lesions are closest to clinical translation when used as assistive tools with visible human verification. Cord contouring is robust, but spinal lesions, cortical lesions, enhancing lesions, CVS and PRL remain more dependent on specialised data, lesion size and acquisition quality. Diagnostic and prognostic models are scientifically informative but often overstate readiness through curated spectra, incomplete external validation, uncertain labels and absent calibration.</w:t>
      </w:r>
    </w:p>
    <w:p>
      <w:pPr/>
      <w:r>
        <w:rPr>
          <w:rFonts w:ascii="Times New Roman" w:hAnsi="Times New Roman"/>
          <w:sz w:val="22"/>
        </w:rPr>
        <w:t>The decisive gap is no longer whether an algorithm can improve a benchmark metric. It is whether the entire data-to-decision pathway remains reliable across patients, scanners, time and clinical consequences. Regulatory clearance and faster reading are meaningful steps, but evidence of patient net benefit, cost-effectiveness and equitable performance is still sparse. Clinical translation should therefore proceed through prospective human–AI evaluation, transparent failure handling, independent multi-centre testing and continuous monitoring. On present evidence, AI is best positioned to make MS MRI measurement more consistent and longitudinal interpretation more sensitive—not to replace multidisciplinary diagnosis or independently determine prognosis.</w:t>
      </w:r>
    </w:p>
    <w:p>
      <w:pPr>
        <w:pStyle w:val="Heading1"/>
      </w:pPr>
      <w:r>
        <w:rPr>
          <w:rFonts w:ascii="Times New Roman" w:hAnsi="Times New Roman"/>
          <w:sz w:val="28"/>
        </w:rPr>
        <w:t>Declarations</w:t>
      </w:r>
    </w:p>
    <w:p>
      <w:pPr/>
      <w:r>
        <w:rPr>
          <w:rFonts w:ascii="Times New Roman" w:hAnsi="Times New Roman"/>
          <w:b/>
          <w:sz w:val="22"/>
        </w:rPr>
        <w:t>Funding:</w:t>
      </w:r>
      <w:r>
        <w:rPr>
          <w:rFonts w:ascii="Times New Roman" w:hAnsi="Times New Roman"/>
          <w:sz w:val="22"/>
        </w:rPr>
        <w:t xml:space="preserve"> [Insert funding statement, including grant numbers, or “No specific funding was received for this work.”]</w:t>
      </w:r>
    </w:p>
    <w:p>
      <w:pPr/>
      <w:r>
        <w:rPr>
          <w:rFonts w:ascii="Times New Roman" w:hAnsi="Times New Roman"/>
          <w:b/>
          <w:sz w:val="22"/>
        </w:rPr>
        <w:t>Conflict of interest:</w:t>
      </w:r>
      <w:r>
        <w:rPr>
          <w:rFonts w:ascii="Times New Roman" w:hAnsi="Times New Roman"/>
          <w:sz w:val="22"/>
        </w:rPr>
        <w:t xml:space="preserve"> [Insert complete author disclosures.]</w:t>
      </w:r>
    </w:p>
    <w:p>
      <w:pPr/>
      <w:r>
        <w:rPr>
          <w:rFonts w:ascii="Times New Roman" w:hAnsi="Times New Roman"/>
          <w:b/>
          <w:sz w:val="22"/>
        </w:rPr>
        <w:t>Author contributions:</w:t>
      </w:r>
      <w:r>
        <w:rPr>
          <w:rFonts w:ascii="Times New Roman" w:hAnsi="Times New Roman"/>
          <w:sz w:val="22"/>
        </w:rPr>
        <w:t xml:space="preserve"> [Insert CRediT roles for all authors.]</w:t>
      </w:r>
    </w:p>
    <w:p>
      <w:pPr/>
      <w:r>
        <w:rPr>
          <w:rFonts w:ascii="Times New Roman" w:hAnsi="Times New Roman"/>
          <w:b/>
          <w:sz w:val="22"/>
        </w:rPr>
        <w:t>Data availability:</w:t>
      </w:r>
      <w:r>
        <w:rPr>
          <w:rFonts w:ascii="Times New Roman" w:hAnsi="Times New Roman"/>
          <w:sz w:val="22"/>
        </w:rPr>
        <w:t xml:space="preserve"> No new patient data were created or analysed for this review. Public sources and identifiers are provided in the references and dataset table.</w:t>
      </w:r>
    </w:p>
    <w:p>
      <w:pPr/>
      <w:r>
        <w:rPr>
          <w:rFonts w:ascii="Times New Roman" w:hAnsi="Times New Roman"/>
          <w:b/>
          <w:sz w:val="22"/>
        </w:rPr>
        <w:t>Ethics approval and consent:</w:t>
      </w:r>
      <w:r>
        <w:rPr>
          <w:rFonts w:ascii="Times New Roman" w:hAnsi="Times New Roman"/>
          <w:sz w:val="22"/>
        </w:rPr>
        <w:t xml:space="preserve"> Not applicable to this literature review.</w:t>
      </w:r>
    </w:p>
    <w:p>
      <w:pPr/>
      <w:r>
        <w:rPr>
          <w:rFonts w:ascii="Times New Roman" w:hAnsi="Times New Roman"/>
          <w:b/>
          <w:sz w:val="22"/>
        </w:rPr>
        <w:t>AI assistance disclosure:</w:t>
      </w:r>
      <w:r>
        <w:rPr>
          <w:rFonts w:ascii="Times New Roman" w:hAnsi="Times New Roman"/>
          <w:sz w:val="22"/>
        </w:rPr>
        <w:t xml:space="preserve"> This research draft was prepared with AI assistance for literature organisation, drafting and figure generation. Human authors must independently verify the search, evidence interpretation, numerical results, citations and compliance with the target journal’s current policies before any submission.</w:t>
      </w:r>
    </w:p>
    <w:p>
      <w:pPr/>
      <w:r>
        <w:rPr>
          <w:rFonts w:ascii="Times New Roman" w:hAnsi="Times New Roman"/>
          <w:b/>
          <w:sz w:val="22"/>
        </w:rPr>
        <w:t>Acknowledgements:</w:t>
      </w:r>
      <w:r>
        <w:rPr>
          <w:rFonts w:ascii="Times New Roman" w:hAnsi="Times New Roman"/>
          <w:sz w:val="22"/>
        </w:rPr>
        <w:t xml:space="preserve"> [Insert acknowledgements.]</w:t>
      </w:r>
    </w:p>
    <w:p>
      <w:r>
        <w:br w:type="page"/>
      </w:r>
    </w:p>
    <w:p>
      <w:pPr>
        <w:pStyle w:val="Heading1"/>
      </w:pPr>
      <w:r>
        <w:t>References</w:t>
      </w:r>
    </w:p>
    <w:p>
      <w:pPr>
        <w:pStyle w:val="Reference"/>
      </w:pPr>
      <w:r>
        <w:rPr>
          <w:b/>
        </w:rPr>
        <w:t xml:space="preserve">1. </w:t>
      </w:r>
      <w:r>
        <w:t>Montalban X, Lebrun-Frénay C, Oh J, et al. Diagnosis of multiple sclerosis: 2024 revisions of the McDonald criteria. Lancet Neurol 2025;24:850–865. doi:10.1016/S1474-4422(25)00270-4. PMID:40975101.</w:t>
      </w:r>
    </w:p>
    <w:p>
      <w:pPr>
        <w:pStyle w:val="Reference"/>
      </w:pPr>
      <w:r>
        <w:rPr>
          <w:b/>
        </w:rPr>
        <w:t xml:space="preserve">2. </w:t>
      </w:r>
      <w:r>
        <w:t>Barkhof F, Koeller KK, Filippi M, et al. 2024 MAGNIMS-CMSC-NAIMS consensus recommendations on the use of MRI for the diagnosis of multiple sclerosis. Lancet Neurol 2025;24:866–879. doi:10.1016/S1474-4422(25)00304-7. PMID:40975102.</w:t>
      </w:r>
    </w:p>
    <w:p>
      <w:pPr>
        <w:pStyle w:val="Reference"/>
      </w:pPr>
      <w:r>
        <w:rPr>
          <w:b/>
        </w:rPr>
        <w:t xml:space="preserve">3. </w:t>
      </w:r>
      <w:r>
        <w:t>Wattjes MP, Ciccarelli O, Reich DS, et al. 2021 MAGNIMS-CMSC-NAIMS consensus recommendations on the use of MRI in patients with multiple sclerosis. Lancet Neurol 2021;20:653–670. doi:10.1016/S1474-4422(21)00095-8. PMID:34139157.</w:t>
      </w:r>
    </w:p>
    <w:p>
      <w:pPr>
        <w:pStyle w:val="Reference"/>
      </w:pPr>
      <w:r>
        <w:rPr>
          <w:b/>
        </w:rPr>
        <w:t xml:space="preserve">4. </w:t>
      </w:r>
      <w:r>
        <w:t>Darrudi R, Hosseini A, Emami H, et al. Artificial intelligence in the diagnosis of multiple sclerosis using brain imaging modalities: a systematic review and meta-analysis of algorithms. Medicine (Baltimore) 2025;104:e44493. doi:10.1097/MD.0000000000044493. PMID:40988216.</w:t>
      </w:r>
    </w:p>
    <w:p>
      <w:pPr>
        <w:pStyle w:val="Reference"/>
      </w:pPr>
      <w:r>
        <w:rPr>
          <w:b/>
        </w:rPr>
        <w:t xml:space="preserve">5. </w:t>
      </w:r>
      <w:r>
        <w:t>Belwal P, Singh S. Deep learning techniques to detect and analyse multiple sclerosis through MRI: a systematic literature review. Comput Biol Med 2025;185:109530. doi:10.1016/j.compbiomed.2024.109530. PMID:39693692.</w:t>
      </w:r>
    </w:p>
    <w:p>
      <w:pPr>
        <w:pStyle w:val="Reference"/>
      </w:pPr>
      <w:r>
        <w:rPr>
          <w:b/>
        </w:rPr>
        <w:t xml:space="preserve">6. </w:t>
      </w:r>
      <w:r>
        <w:t>Tejani AS, Klontzas ME, Gatti AA, et al. Checklist for Artificial Intelligence in Medical Imaging (CLAIM): 2024 update. Radiol Artif Intell 2024;6:e240300. doi:10.1148/ryai.240300. PMID:38809149.</w:t>
      </w:r>
    </w:p>
    <w:p>
      <w:pPr>
        <w:pStyle w:val="Reference"/>
      </w:pPr>
      <w:r>
        <w:rPr>
          <w:b/>
        </w:rPr>
        <w:t xml:space="preserve">7. </w:t>
      </w:r>
      <w:r>
        <w:t>Collins GS, Moons KGM, Dhiman P, et al. TRIPOD+AI statement: updated guidance for reporting clinical prediction models that use regression or machine learning methods. BMJ 2024;385:e078378. doi:10.1136/bmj-2023-078378. PMID:38626948.</w:t>
      </w:r>
    </w:p>
    <w:p>
      <w:pPr>
        <w:pStyle w:val="Reference"/>
      </w:pPr>
      <w:r>
        <w:rPr>
          <w:b/>
        </w:rPr>
        <w:t xml:space="preserve">8. </w:t>
      </w:r>
      <w:r>
        <w:t>Moons KGM, Damen JAA, Kaul T, et al. PROBAST+AI: an updated quality, risk of bias, and applicability assessment tool for prediction models using regression or artificial intelligence methods. BMJ 2025;388:e082505. doi:10.1136/bmj-2024-082505. PMID:40127903.</w:t>
      </w:r>
    </w:p>
    <w:p>
      <w:pPr>
        <w:pStyle w:val="Reference"/>
      </w:pPr>
      <w:r>
        <w:rPr>
          <w:b/>
        </w:rPr>
        <w:t xml:space="preserve">9. </w:t>
      </w:r>
      <w:r>
        <w:t>Vasey B, Nagendran M, Campbell B, et al. Reporting guideline for the early-stage clinical evaluation of decision support systems driven by artificial intelligence: DECIDE-AI. Nat Med 2022;28:924–933. doi:10.1038/s41591-022-01772-9. PMID:35585198.</w:t>
      </w:r>
    </w:p>
    <w:p>
      <w:pPr>
        <w:pStyle w:val="Reference"/>
      </w:pPr>
      <w:r>
        <w:rPr>
          <w:b/>
        </w:rPr>
        <w:t xml:space="preserve">10. </w:t>
      </w:r>
      <w:r>
        <w:t>Lekadir K, Frangi AF, Porras AR, et al. FUTURE-AI: international consensus guideline for trustworthy and deployable artificial intelligence in healthcare. BMJ 2025;388:e081554. doi:10.1136/bmj-2024-081554. PMID:39909534.</w:t>
      </w:r>
    </w:p>
    <w:p>
      <w:pPr>
        <w:pStyle w:val="Reference"/>
      </w:pPr>
      <w:r>
        <w:rPr>
          <w:b/>
        </w:rPr>
        <w:t xml:space="preserve">11. </w:t>
      </w:r>
      <w:r>
        <w:t>Liu X, Rivera SC, Moher D, et al. Reporting guidelines for clinical trial reports for interventions involving artificial intelligence: the CONSORT-AI extension. Nat Med 2020;26:1364–1374. doi:10.1038/s41591-020-1034-x. PMID:32908283.</w:t>
      </w:r>
    </w:p>
    <w:p>
      <w:pPr>
        <w:pStyle w:val="Reference"/>
      </w:pPr>
      <w:r>
        <w:rPr>
          <w:b/>
        </w:rPr>
        <w:t xml:space="preserve">12. </w:t>
      </w:r>
      <w:r>
        <w:t>Rivera SC, Liu X, Chan AW, et al. Guidelines for clinical trial protocols for interventions involving artificial intelligence: the SPIRIT-AI extension. Nat Med 2020;26:1351–1363. doi:10.1038/s41591-020-1037-7. PMID:32908284.</w:t>
      </w:r>
    </w:p>
    <w:p>
      <w:pPr>
        <w:pStyle w:val="Reference"/>
      </w:pPr>
      <w:r>
        <w:rPr>
          <w:b/>
        </w:rPr>
        <w:t xml:space="preserve">13. </w:t>
      </w:r>
      <w:r>
        <w:t>Styner M, Lee J, Chin B, et al. 3D segmentation in the clinic: a grand challenge II: MS lesion segmentation. MIDAS J 2008. doi:10.54294/lmkqvm.</w:t>
      </w:r>
    </w:p>
    <w:p>
      <w:pPr>
        <w:pStyle w:val="Reference"/>
      </w:pPr>
      <w:r>
        <w:rPr>
          <w:b/>
        </w:rPr>
        <w:t xml:space="preserve">14. </w:t>
      </w:r>
      <w:r>
        <w:t>Carass A, Roy S, Jog A, et al. Longitudinal multiple sclerosis lesion segmentation: resource and challenge. NeuroImage 2017;148:77–102. doi:10.1016/j.neuroimage.2016.12.064.</w:t>
      </w:r>
    </w:p>
    <w:p>
      <w:pPr>
        <w:pStyle w:val="Reference"/>
      </w:pPr>
      <w:r>
        <w:rPr>
          <w:b/>
        </w:rPr>
        <w:t xml:space="preserve">15. </w:t>
      </w:r>
      <w:r>
        <w:t>Carass A, Roy S, Gherman A, et al. Evaluating white matter lesion segmentations with refined Sørensen-Dice analysis. Data Brief 2017;12:346–350. doi:10.1016/j.dib.2017.04.004. PMID:28491937.</w:t>
      </w:r>
    </w:p>
    <w:p>
      <w:pPr>
        <w:pStyle w:val="Reference"/>
      </w:pPr>
      <w:r>
        <w:rPr>
          <w:b/>
        </w:rPr>
        <w:t xml:space="preserve">16. </w:t>
      </w:r>
      <w:r>
        <w:t>Commowick O, Istace A, Kain M, et al. Multiple sclerosis lesions segmentation from multiple experts: the MICCAI 2016 challenge dataset. NeuroImage 2021;244:118589. doi:10.1016/j.neuroimage.2021.118589. PMID:34563682.</w:t>
      </w:r>
    </w:p>
    <w:p>
      <w:pPr>
        <w:pStyle w:val="Reference"/>
      </w:pPr>
      <w:r>
        <w:rPr>
          <w:b/>
        </w:rPr>
        <w:t xml:space="preserve">17. </w:t>
      </w:r>
      <w:r>
        <w:t>Commowick O, Cervenansky F, Ameli R. MSSEG challenge proceedings: multiple sclerosis lesions segmentation challenge using a data management and processing infrastructure. Sci Rep 2018;8:13650. doi:10.1038/s41598-018-31911-7. PMID:30209345.</w:t>
      </w:r>
    </w:p>
    <w:p>
      <w:pPr>
        <w:pStyle w:val="Reference"/>
      </w:pPr>
      <w:r>
        <w:rPr>
          <w:b/>
        </w:rPr>
        <w:t xml:space="preserve">18. </w:t>
      </w:r>
      <w:r>
        <w:t>Masson A, et al. Multiple sclerosis new lesion segmentation challenge (MSSEG-2): methods, results and lessons from multi-rater longitudinal FLAIR. Sci Rep 2026. doi:10.1038/s41598-026-52150-1. PMID:42168373.</w:t>
      </w:r>
    </w:p>
    <w:p>
      <w:pPr>
        <w:pStyle w:val="Reference"/>
      </w:pPr>
      <w:r>
        <w:rPr>
          <w:b/>
        </w:rPr>
        <w:t xml:space="preserve">19. </w:t>
      </w:r>
      <w:r>
        <w:t>Lesjak Ž, Galimzianova A, Koren A, et al. A novel public MR image dataset of multiple sclerosis patients with lesion segmentations based on multi-rater consensus. Neuroinformatics 2018;16:51–63. doi:10.1007/s12021-017-9348-7. PMID:29103086.</w:t>
      </w:r>
    </w:p>
    <w:p>
      <w:pPr>
        <w:pStyle w:val="Reference"/>
      </w:pPr>
      <w:r>
        <w:rPr>
          <w:b/>
        </w:rPr>
        <w:t xml:space="preserve">20. </w:t>
      </w:r>
      <w:r>
        <w:t>Lesjak Ž, Špiclin Ž, et al. Validation of white-matter lesion change detection methods on a novel publicly available MRI image database. Neuroinformatics 2016;14:403–420. doi:10.1007/s12021-016-9301-1. PMID:27207310.</w:t>
      </w:r>
    </w:p>
    <w:p>
      <w:pPr>
        <w:pStyle w:val="Reference"/>
      </w:pPr>
      <w:r>
        <w:rPr>
          <w:b/>
        </w:rPr>
        <w:t xml:space="preserve">21. </w:t>
      </w:r>
      <w:r>
        <w:t>Guarnera F, et al. MSLesSeg: a publicly available dataset for multiple sclerosis lesion segmentation. Sci Data 2025;12:920. doi:10.1038/s41597-025-05250-y.</w:t>
      </w:r>
    </w:p>
    <w:p>
      <w:pPr>
        <w:pStyle w:val="Reference"/>
      </w:pPr>
      <w:r>
        <w:rPr>
          <w:b/>
        </w:rPr>
        <w:t xml:space="preserve">22. </w:t>
      </w:r>
      <w:r>
        <w:t>Muslim AM, Chabuk ZAA, Al-Khafaji Z. MS-Baghdad: a multi-center MRI dataset for multiple sclerosis lesion segmentation. Data Brief 2022;42:108139. doi:10.1016/j.dib.2022.108139. PMID:35496484.</w:t>
      </w:r>
    </w:p>
    <w:p>
      <w:pPr>
        <w:pStyle w:val="Reference"/>
      </w:pPr>
      <w:r>
        <w:rPr>
          <w:b/>
        </w:rPr>
        <w:t xml:space="preserve">23. </w:t>
      </w:r>
      <w:r>
        <w:t>Tuchinov A, et al. SibBMS: a Siberian brain MRI dataset for multiple sclerosis research. Mach Learn Biomed Imaging 2025;3:905–912. doi:10.59275/j.melba.2025-f798.</w:t>
      </w:r>
    </w:p>
    <w:p>
      <w:pPr>
        <w:pStyle w:val="Reference"/>
      </w:pPr>
      <w:r>
        <w:rPr>
          <w:b/>
        </w:rPr>
        <w:t xml:space="preserve">24. </w:t>
      </w:r>
      <w:r>
        <w:t>Bawil A, et al. MS3SEG: a multi-class routine MRI dataset for multiple sclerosis lesion segmentation. Sci Data 2026;13:867. doi:10.1038/s41597-026-07184-5.</w:t>
      </w:r>
    </w:p>
    <w:p>
      <w:pPr>
        <w:pStyle w:val="Reference"/>
      </w:pPr>
      <w:r>
        <w:rPr>
          <w:b/>
        </w:rPr>
        <w:t xml:space="preserve">25. </w:t>
      </w:r>
      <w:r>
        <w:t>Popa L, et al. PediMS: a longitudinal paediatric multiple sclerosis MRI and clinical dataset. Sci Data 2025;12:1184. doi:10.1038/s41597-025-05346-5.</w:t>
      </w:r>
    </w:p>
    <w:p>
      <w:pPr>
        <w:pStyle w:val="Reference"/>
      </w:pPr>
      <w:r>
        <w:rPr>
          <w:b/>
        </w:rPr>
        <w:t xml:space="preserve">26. </w:t>
      </w:r>
      <w:r>
        <w:t>Malinin A, Band N, Gal Y, et al. Shifts 2.0: extending the dataset real distributional shift benchmark. NeurIPS Datasets and Benchmarks 2022. arXiv:2206.15407; dataset doi:10.5281/zenodo.7051658.</w:t>
      </w:r>
    </w:p>
    <w:p>
      <w:pPr>
        <w:pStyle w:val="Reference"/>
      </w:pPr>
      <w:r>
        <w:rPr>
          <w:b/>
        </w:rPr>
        <w:t xml:space="preserve">27. </w:t>
      </w:r>
      <w:r>
        <w:t>Gros C, De Leener B, Badji A, et al. Automatic segmentation of the spinal cord and intramedullary multiple sclerosis lesions with convolutional neural networks. NeuroImage 2019;184:901–915. doi:10.1016/j.neuroimage.2018.09.081. PMID:30300751.</w:t>
      </w:r>
    </w:p>
    <w:p>
      <w:pPr>
        <w:pStyle w:val="Reference"/>
      </w:pPr>
      <w:r>
        <w:rPr>
          <w:b/>
        </w:rPr>
        <w:t xml:space="preserve">28. </w:t>
      </w:r>
      <w:r>
        <w:t>Disanto G, Benkert P, Lorscheider J, et al. The Swiss Multiple Sclerosis Cohort-Study (SMSC): a prospective Swiss wide investigation of key phases in disease evolution and new treatment options. PLoS One 2016;11:e0152347. doi:10.1371/journal.pone.0152347.</w:t>
      </w:r>
    </w:p>
    <w:p>
      <w:pPr>
        <w:pStyle w:val="Reference"/>
      </w:pPr>
      <w:r>
        <w:rPr>
          <w:b/>
        </w:rPr>
        <w:t xml:space="preserve">29. </w:t>
      </w:r>
      <w:r>
        <w:t>Vukusic S, Casey R, Rollot F, et al. Observatoire Français de la Sclérose en Plaques (OFSEP): a unique multimodal nationwide MS registry in France. Mult Scler 2020;26:118–122. doi:10.1177/1352458518815602.</w:t>
      </w:r>
    </w:p>
    <w:p>
      <w:pPr>
        <w:pStyle w:val="Reference"/>
      </w:pPr>
      <w:r>
        <w:rPr>
          <w:b/>
        </w:rPr>
        <w:t xml:space="preserve">30. </w:t>
      </w:r>
      <w:r>
        <w:t>Mowry EM, Bermel RA, Williams JR, et al. Harnessing real-world data to inform decision-making: Multiple Sclerosis Partners Advancing Technology and Health Solutions (MS PATHS). Front Neurol 2020;11:632. doi:10.3389/fneur.2020.00632.</w:t>
      </w:r>
    </w:p>
    <w:p>
      <w:pPr>
        <w:pStyle w:val="Reference"/>
      </w:pPr>
      <w:r>
        <w:rPr>
          <w:b/>
        </w:rPr>
        <w:t xml:space="preserve">31. </w:t>
      </w:r>
      <w:r>
        <w:t>Harrison DM, et al. The North American Imaging in Multiple Sclerosis Cooperative 7 Tesla MRI repository. Hum Brain Mapp 2024;45:e26816. doi:10.1002/hbm.26816. PMID:39169546.</w:t>
      </w:r>
    </w:p>
    <w:p>
      <w:pPr>
        <w:pStyle w:val="Reference"/>
      </w:pPr>
      <w:r>
        <w:rPr>
          <w:b/>
        </w:rPr>
        <w:t xml:space="preserve">32. </w:t>
      </w:r>
      <w:r>
        <w:t>Goebl R, et al. Enabling new insights from old scans by artificial intelligence analysis of clinical and trial MRI in multiple sclerosis. Nat Commun 2025;16:3149. doi:10.1038/s41467-025-58274-8. PMID:40195318.</w:t>
      </w:r>
    </w:p>
    <w:p>
      <w:pPr>
        <w:pStyle w:val="Reference"/>
      </w:pPr>
      <w:r>
        <w:rPr>
          <w:b/>
        </w:rPr>
        <w:t xml:space="preserve">33. </w:t>
      </w:r>
      <w:r>
        <w:t>Dewey BE, Zhao C, Reinhold JC, et al. DeepHarmony: a deep learning approach to contrast harmonization across scanner changes. Magn Reson Imaging 2019;64:160–170. doi:10.1016/j.mri.2019.05.041. PMID:31301354.</w:t>
      </w:r>
    </w:p>
    <w:p>
      <w:pPr>
        <w:pStyle w:val="Reference"/>
      </w:pPr>
      <w:r>
        <w:rPr>
          <w:b/>
        </w:rPr>
        <w:t xml:space="preserve">34. </w:t>
      </w:r>
      <w:r>
        <w:t>Zuo L, Dewey BE, Carass A, et al. HACA3: a unified approach for multi-site MR image harmonization. Comput Med Imaging Graph 2023;109:102285. doi:10.1016/j.compmedimag.2023.102285. PMID:37657151.</w:t>
      </w:r>
    </w:p>
    <w:p>
      <w:pPr>
        <w:pStyle w:val="Reference"/>
      </w:pPr>
      <w:r>
        <w:rPr>
          <w:b/>
        </w:rPr>
        <w:t xml:space="preserve">35. </w:t>
      </w:r>
      <w:r>
        <w:t>Giraldo DL, et al. Super-resolution of clinical FLAIR MRI for improved multiple sclerosis lesion segmentation. Front Neurosci 2024;18:1473132. doi:10.3389/fnins.2024.1473132. PMID:39502711.</w:t>
      </w:r>
    </w:p>
    <w:p>
      <w:pPr>
        <w:pStyle w:val="Reference"/>
      </w:pPr>
      <w:r>
        <w:rPr>
          <w:b/>
        </w:rPr>
        <w:t xml:space="preserve">36. </w:t>
      </w:r>
      <w:r>
        <w:t>Gabr RE, Coronado I, Robinson M, et al. Brain and lesion segmentation in multiple sclerosis using fully convolutional neural networks: a large-scale study. Mult Scler 2020;26:1217–1226. doi:10.1177/1352458519856843. PMID:31190607.</w:t>
      </w:r>
    </w:p>
    <w:p>
      <w:pPr>
        <w:pStyle w:val="Reference"/>
      </w:pPr>
      <w:r>
        <w:rPr>
          <w:b/>
        </w:rPr>
        <w:t xml:space="preserve">37. </w:t>
      </w:r>
      <w:r>
        <w:t>McKinley R, et al. Simultaneous lesion and brain segmentation in multiple sclerosis using deep neural networks. Sci Rep 2021;11:1087. doi:10.1038/s41598-020-79925-4.</w:t>
      </w:r>
    </w:p>
    <w:p>
      <w:pPr>
        <w:pStyle w:val="Reference"/>
      </w:pPr>
      <w:r>
        <w:rPr>
          <w:b/>
        </w:rPr>
        <w:t xml:space="preserve">38. </w:t>
      </w:r>
      <w:r>
        <w:t>Cerri S, Greve DN, Hoopes A, et al. An open-source tool for longitudinal whole-brain and white matter lesion segmentation in multiple sclerosis. NeuroImage 2021;225:117471. doi:10.1016/j.neuroimage.2020.117471. PMID:33099007.</w:t>
      </w:r>
    </w:p>
    <w:p>
      <w:pPr>
        <w:pStyle w:val="Reference"/>
      </w:pPr>
      <w:r>
        <w:rPr>
          <w:b/>
        </w:rPr>
        <w:t xml:space="preserve">39. </w:t>
      </w:r>
      <w:r>
        <w:t>Gentile G, et al. BIANCA-MS: an optimised tool for automated multiple sclerosis lesion segmentation. Hum Brain Mapp 2023;44:4893–4913. doi:10.1002/hbm.26424. PMID:37530598.</w:t>
      </w:r>
    </w:p>
    <w:p>
      <w:pPr>
        <w:pStyle w:val="Reference"/>
      </w:pPr>
      <w:r>
        <w:rPr>
          <w:b/>
        </w:rPr>
        <w:t xml:space="preserve">40. </w:t>
      </w:r>
      <w:r>
        <w:t>Chaves H, et al. Robustness of deep-learning multiple sclerosis lesion segmentation in real-world multi-centre MRI. Eur Radiol 2024;34:2024–2035. doi:10.1007/s00330-023-10093-5. PMID:37650967.</w:t>
      </w:r>
    </w:p>
    <w:p>
      <w:pPr>
        <w:pStyle w:val="Reference"/>
      </w:pPr>
      <w:r>
        <w:rPr>
          <w:b/>
        </w:rPr>
        <w:t xml:space="preserve">41. </w:t>
      </w:r>
      <w:r>
        <w:t>Krishnan AP, Song Z, Clayton D, et al. Multi-arm U-Net with dense input and skip connectivity for T2 lesion segmentation in clinical trials of multiple sclerosis. Sci Rep 2023;13:4102. doi:10.1038/s41598-023-31207-5. PMID:36914715.</w:t>
      </w:r>
    </w:p>
    <w:p>
      <w:pPr>
        <w:pStyle w:val="Reference"/>
      </w:pPr>
      <w:r>
        <w:rPr>
          <w:b/>
        </w:rPr>
        <w:t xml:space="preserve">42. </w:t>
      </w:r>
      <w:r>
        <w:t>Greselin P, et al. Deep learning segmentation of contrast-enhancing multiple sclerosis lesions in a multicentre cohort. Bioengineering 2024;11:858. doi:10.3390/bioengineering11080858. PMID:39199815.</w:t>
      </w:r>
    </w:p>
    <w:p>
      <w:pPr>
        <w:pStyle w:val="Reference"/>
      </w:pPr>
      <w:r>
        <w:rPr>
          <w:b/>
        </w:rPr>
        <w:t xml:space="preserve">43. </w:t>
      </w:r>
      <w:r>
        <w:t>Gaj S, Ontaneda D, Nakamura K. Automatic segmentation of gadolinium-enhancing lesions in multiple sclerosis using deep learning from clinical MRI. PLoS One 2021;16:e0255939. doi:10.1371/journal.pone.0255939.</w:t>
      </w:r>
    </w:p>
    <w:p>
      <w:pPr>
        <w:pStyle w:val="Reference"/>
      </w:pPr>
      <w:r>
        <w:rPr>
          <w:b/>
        </w:rPr>
        <w:t xml:space="preserve">44. </w:t>
      </w:r>
      <w:r>
        <w:t>Benveniste I, et al. Multi-contrast and multi-centre deep learning for robust spinal cord lesion segmentation in multiple sclerosis. Mult Scler 2026;32:598–613. doi:10.1177/13524585261427333. PMID:42028790.</w:t>
      </w:r>
    </w:p>
    <w:p>
      <w:pPr>
        <w:pStyle w:val="Reference"/>
      </w:pPr>
      <w:r>
        <w:rPr>
          <w:b/>
        </w:rPr>
        <w:t xml:space="preserve">45. </w:t>
      </w:r>
      <w:r>
        <w:t>La Rosa F, et al. Automated detection of cortical lesions in multiple sclerosis patients with 7 T MRI. NMR Biomed 2022;35:e4730. doi:10.1002/nbm.4730. PMID:35297114.</w:t>
      </w:r>
    </w:p>
    <w:p>
      <w:pPr>
        <w:pStyle w:val="Reference"/>
      </w:pPr>
      <w:r>
        <w:rPr>
          <w:b/>
        </w:rPr>
        <w:t xml:space="preserve">46. </w:t>
      </w:r>
      <w:r>
        <w:t>Molchanova N, et al. Generalizable deep learning for cortical lesion segmentation in multiple sclerosis across 3 T and 7 T MRI. Neuroimage Clin 2026;50:104007. doi:10.1016/j.nicl.2026.104007. PMID:42224860.</w:t>
      </w:r>
    </w:p>
    <w:p>
      <w:pPr>
        <w:pStyle w:val="Reference"/>
      </w:pPr>
      <w:r>
        <w:rPr>
          <w:b/>
        </w:rPr>
        <w:t xml:space="preserve">47. </w:t>
      </w:r>
      <w:r>
        <w:t>Maggi P, Fartaria MJ, Jorge J, et al. CVSnet: a machine learning approach for automated central vein sign assessment in multiple sclerosis. NMR Biomed 2020;33:e4283. doi:10.1002/nbm.4283.</w:t>
      </w:r>
    </w:p>
    <w:p>
      <w:pPr>
        <w:pStyle w:val="Reference"/>
      </w:pPr>
      <w:r>
        <w:rPr>
          <w:b/>
        </w:rPr>
        <w:t xml:space="preserve">48. </w:t>
      </w:r>
      <w:r>
        <w:t>Bhandari A, Xiang H, Lechner-Scott J, et al. Central vein sign for multiple sclerosis: a systematic review and meta-analysis. Clin Radiol 2020;75:479.e9–479.e15. doi:10.1016/j.crad.2020.01.011. PMID:32143784.</w:t>
      </w:r>
    </w:p>
    <w:p>
      <w:pPr>
        <w:pStyle w:val="Reference"/>
      </w:pPr>
      <w:r>
        <w:rPr>
          <w:b/>
        </w:rPr>
        <w:t xml:space="preserve">49. </w:t>
      </w:r>
      <w:r>
        <w:t>Barquero G, La Rosa F, Kebiri H, et al. RimNet: a deep 3D multimodal MRI architecture for paramagnetic rim lesion assessment in multiple sclerosis. Neuroimage Clin 2020;28:102412. doi:10.1016/j.nicl.2020.102412. PMID:32961401.</w:t>
      </w:r>
    </w:p>
    <w:p>
      <w:pPr>
        <w:pStyle w:val="Reference"/>
      </w:pPr>
      <w:r>
        <w:rPr>
          <w:b/>
        </w:rPr>
        <w:t xml:space="preserve">50. </w:t>
      </w:r>
      <w:r>
        <w:t>Zhang H, Nguyen TD, Zhang J, et al. QSMRim-Net: imbalance-aware learning for identification of chronic active multiple sclerosis lesions on quantitative susceptibility maps. Neuroimage Clin 2022;34:102979. doi:10.1016/j.nicl.2022.102979. PMID:35247730.</w:t>
      </w:r>
    </w:p>
    <w:p>
      <w:pPr>
        <w:pStyle w:val="Reference"/>
      </w:pPr>
      <w:r>
        <w:rPr>
          <w:b/>
        </w:rPr>
        <w:t xml:space="preserve">51. </w:t>
      </w:r>
      <w:r>
        <w:t>Hu F, Ren Z, Chen L, et al. Automated segmentation of multiple sclerosis lesions, paramagnetic rims, and central vein sign on MRI provides reliable diagnostic biomarkers. Imaging Neurosci 2025;3:IMAG.a.932. doi:10.1162/IMAG.a.932. PMID:41089191.</w:t>
      </w:r>
    </w:p>
    <w:p>
      <w:pPr>
        <w:pStyle w:val="Reference"/>
      </w:pPr>
      <w:r>
        <w:rPr>
          <w:b/>
        </w:rPr>
        <w:t xml:space="preserve">52. </w:t>
      </w:r>
      <w:r>
        <w:t>Borrelli S, Martire MS, Stölting A, et al. Central vein sign, cortical lesions, and paramagnetic rim lesions for the diagnostic and prognostic workup of multiple sclerosis. Neurol Neuroimmunol Neuroinflamm 2024;11:e200253. doi:10.1212/NXI.0000000000200253. PMID:38788180.</w:t>
      </w:r>
    </w:p>
    <w:p>
      <w:pPr>
        <w:pStyle w:val="Reference"/>
      </w:pPr>
      <w:r>
        <w:rPr>
          <w:b/>
        </w:rPr>
        <w:t xml:space="preserve">53. </w:t>
      </w:r>
      <w:r>
        <w:t>Eitel F, Soehler E, Bellmann-Strobl J, et al. Uncovering convolutional neural network decisions for diagnosing multiple sclerosis on conventional MRI using layer-wise relevance propagation. Neuroimage Clin 2019;24:102003. doi:10.1016/j.nicl.2019.102003.</w:t>
      </w:r>
    </w:p>
    <w:p>
      <w:pPr>
        <w:pStyle w:val="Reference"/>
      </w:pPr>
      <w:r>
        <w:rPr>
          <w:b/>
        </w:rPr>
        <w:t xml:space="preserve">54. </w:t>
      </w:r>
      <w:r>
        <w:t>Rocca MA, Anzalone N, Storelli L, et al. Deep learning on conventional magnetic resonance imaging improves the diagnosis of multiple sclerosis mimics. Invest Radiol 2021;56:252–260. doi:10.1097/RLI.0000000000000735. PMID:33109920.</w:t>
      </w:r>
    </w:p>
    <w:p>
      <w:pPr>
        <w:pStyle w:val="Reference"/>
      </w:pPr>
      <w:r>
        <w:rPr>
          <w:b/>
        </w:rPr>
        <w:t xml:space="preserve">55. </w:t>
      </w:r>
      <w:r>
        <w:t>Seok JM, et al. Deep-learning classification of multiple sclerosis and neuromyelitis optica spectrum disorder using brain FLAIR MRI. Sci Rep 2023;13:11625. doi:10.1038/s41598-023-38271-x. PMID:37468553.</w:t>
      </w:r>
    </w:p>
    <w:p>
      <w:pPr>
        <w:pStyle w:val="Reference"/>
      </w:pPr>
      <w:r>
        <w:rPr>
          <w:b/>
        </w:rPr>
        <w:t xml:space="preserve">56. </w:t>
      </w:r>
      <w:r>
        <w:t>Lavrova E, et al. Radiomics and machine learning for early diagnosis of multiple sclerosis from brain MRI. Front Neurosci 2021;15:679941. doi:10.3389/fnins.2021.679941. PMID:34421515.</w:t>
      </w:r>
    </w:p>
    <w:p>
      <w:pPr>
        <w:pStyle w:val="Reference"/>
      </w:pPr>
      <w:r>
        <w:rPr>
          <w:b/>
        </w:rPr>
        <w:t xml:space="preserve">57. </w:t>
      </w:r>
      <w:r>
        <w:t>Wynen M, Vanden Bulcke C, Borrelli S, et al. Machine learning-based combination of the central vein sign, cortical lesions and paramagnetic rim lesions: a web-based tool for the diagnosis of multiple sclerosis. Brain Commun 2026;8:fcag079. doi:10.1093/braincomms/fcag079. PMID:41884595.</w:t>
      </w:r>
    </w:p>
    <w:p>
      <w:pPr>
        <w:pStyle w:val="Reference"/>
      </w:pPr>
      <w:r>
        <w:rPr>
          <w:b/>
        </w:rPr>
        <w:t xml:space="preserve">58. </w:t>
      </w:r>
      <w:r>
        <w:t>Salem M, Valverde S, Cabezas M, et al. A fully convolutional neural network for new T2-w lesion detection in multiple sclerosis. Neuroimage Clin 2020;25:102149. doi:10.1016/j.nicl.2019.102149.</w:t>
      </w:r>
    </w:p>
    <w:p>
      <w:pPr>
        <w:pStyle w:val="Reference"/>
      </w:pPr>
      <w:r>
        <w:rPr>
          <w:b/>
        </w:rPr>
        <w:t xml:space="preserve">59. </w:t>
      </w:r>
      <w:r>
        <w:t>Basaran BD, Matthews PM, Bai W. New lesion segmentation for multiple sclerosis brain images with imaging- and lesion-aware augmentation. Front Neurosci 2022;16:1007453. doi:10.3389/fnins.2022.1007453. PMID:36340756.</w:t>
      </w:r>
    </w:p>
    <w:p>
      <w:pPr>
        <w:pStyle w:val="Reference"/>
      </w:pPr>
      <w:r>
        <w:rPr>
          <w:b/>
        </w:rPr>
        <w:t xml:space="preserve">60. </w:t>
      </w:r>
      <w:r>
        <w:t>Barnett MH, et al. A real-world clinical validation for AI-based MRI monitoring in multiple sclerosis. NPJ Digit Med 2023;6:196. doi:10.1038/s41746-023-00940-6. PMID:37857813.</w:t>
      </w:r>
    </w:p>
    <w:p>
      <w:pPr>
        <w:pStyle w:val="Reference"/>
      </w:pPr>
      <w:r>
        <w:rPr>
          <w:b/>
        </w:rPr>
        <w:t xml:space="preserve">61. </w:t>
      </w:r>
      <w:r>
        <w:t>Combes B, et al. Evaluation of a PACS-compatible artificial intelligence tool for longitudinal multiple sclerosis MRI assessment. Front Med 2021;8:740248. doi:10.3389/fmed.2021.740248.</w:t>
      </w:r>
    </w:p>
    <w:p>
      <w:pPr>
        <w:pStyle w:val="Reference"/>
      </w:pPr>
      <w:r>
        <w:rPr>
          <w:b/>
        </w:rPr>
        <w:t xml:space="preserve">62. </w:t>
      </w:r>
      <w:r>
        <w:t>Peters S, et al. AI-supported detection of cerebral multiple sclerosis lesions decreases radiologic reporting times. Eur J Radiol 2024;178:111638. doi:10.1016/j.ejrad.2024.111638.</w:t>
      </w:r>
    </w:p>
    <w:p>
      <w:pPr>
        <w:pStyle w:val="Reference"/>
      </w:pPr>
      <w:r>
        <w:rPr>
          <w:b/>
        </w:rPr>
        <w:t xml:space="preserve">63. </w:t>
      </w:r>
      <w:r>
        <w:t>Sieber V, et al. Automated assessment of brain MRIs in multiple sclerosis patients significantly reduces reading time. Neuroradiology 2024;66:2171–2176. doi:10.1007/s00234-024-03497-7. PMID:39514032.</w:t>
      </w:r>
    </w:p>
    <w:p>
      <w:pPr>
        <w:pStyle w:val="Reference"/>
      </w:pPr>
      <w:r>
        <w:rPr>
          <w:b/>
        </w:rPr>
        <w:t xml:space="preserve">64. </w:t>
      </w:r>
      <w:r>
        <w:t>Mastilović M, et al. Evaluation of two artificial intelligence techniques for new T2/FLAIR lesion detection in multiple sclerosis. Front Neurol 2025;16:1678073. doi:10.3389/fneur.2025.1678073. PMID:41132873.</w:t>
      </w:r>
    </w:p>
    <w:p>
      <w:pPr>
        <w:pStyle w:val="Reference"/>
      </w:pPr>
      <w:r>
        <w:rPr>
          <w:b/>
        </w:rPr>
        <w:t xml:space="preserve">65. </w:t>
      </w:r>
      <w:r>
        <w:t>Mastilović M, et al. Artificial intelligence in detection of multiple sclerosis plaques: influence treatment decision? J Neuroradiol 2026;53:101406. doi:10.1016/j.neurad.2025.101406. PMID:41349455.</w:t>
      </w:r>
    </w:p>
    <w:p>
      <w:pPr>
        <w:pStyle w:val="Reference"/>
      </w:pPr>
      <w:r>
        <w:rPr>
          <w:b/>
        </w:rPr>
        <w:t xml:space="preserve">66. </w:t>
      </w:r>
      <w:r>
        <w:t>Zhan G, Wang D, Cabezas M, et al. Learning from pseudo-labels: deep networks improve consistency in longitudinal brain volume estimation. Front Neurosci 2023;17:1196087. doi:10.3389/fnins.2023.1196087. PMID:37483345.</w:t>
      </w:r>
    </w:p>
    <w:p>
      <w:pPr>
        <w:pStyle w:val="Reference"/>
      </w:pPr>
      <w:r>
        <w:rPr>
          <w:b/>
        </w:rPr>
        <w:t xml:space="preserve">67. </w:t>
      </w:r>
      <w:r>
        <w:t>Houshi S, et al. AI-powered disease progression prediction in multiple sclerosis: a systematic review and meta-analysis. Neurol Res 2026;48:419–433. doi:10.1080/01616412.2025.2532038. PMID:40650946.</w:t>
      </w:r>
    </w:p>
    <w:p>
      <w:pPr>
        <w:pStyle w:val="Reference"/>
      </w:pPr>
      <w:r>
        <w:rPr>
          <w:b/>
        </w:rPr>
        <w:t xml:space="preserve">68. </w:t>
      </w:r>
      <w:r>
        <w:t>Tousignant A, et al. Prediction of disease progression in multiple sclerosis patients using deep learning analysis of MRI data. Proc Mach Learn Res 2019;102:483–492.</w:t>
      </w:r>
    </w:p>
    <w:p>
      <w:pPr>
        <w:pStyle w:val="Reference"/>
      </w:pPr>
      <w:r>
        <w:rPr>
          <w:b/>
        </w:rPr>
        <w:t xml:space="preserve">69. </w:t>
      </w:r>
      <w:r>
        <w:t>Storelli L, et al. A deep learning approach to predict disability progression in multiple sclerosis using magnetic resonance imaging. Invest Radiol 2022;57:423–432. doi:10.1097/RLI.0000000000000854. PMID:35093968.</w:t>
      </w:r>
    </w:p>
    <w:p>
      <w:pPr>
        <w:pStyle w:val="Reference"/>
      </w:pPr>
      <w:r>
        <w:rPr>
          <w:b/>
        </w:rPr>
        <w:t xml:space="preserve">70. </w:t>
      </w:r>
      <w:r>
        <w:t>Pontillo G, Cocozza S, Di Stasi M, et al. Deep learning and radiomics for disability assessment in multiple sclerosis: external validation. AJNR Am J Neuroradiol 2021;42:1927–1933. doi:10.3174/ajnr.A7274. PMID:34531195.</w:t>
      </w:r>
    </w:p>
    <w:p>
      <w:pPr>
        <w:pStyle w:val="Reference"/>
      </w:pPr>
      <w:r>
        <w:rPr>
          <w:b/>
        </w:rPr>
        <w:t xml:space="preserve">71. </w:t>
      </w:r>
      <w:r>
        <w:t>Denissen S, et al. Machine learning prediction of cognitive impairment in multiple sclerosis using clinical and MRI measures. Hum Brain Mapp 2023. doi:10.1002/hbm.26106. PMID:36255155.</w:t>
      </w:r>
    </w:p>
    <w:p>
      <w:pPr>
        <w:pStyle w:val="Reference"/>
      </w:pPr>
      <w:r>
        <w:rPr>
          <w:b/>
        </w:rPr>
        <w:t xml:space="preserve">72. </w:t>
      </w:r>
      <w:r>
        <w:t>Sharrad DF, et al. Defining progression independent of relapse activity in multiple sclerosis: a systematic review. Mult Scler Relat Disord 2023;77:104899. doi:10.1016/j.msard.2023.104899. PMID:37499338.</w:t>
      </w:r>
    </w:p>
    <w:p>
      <w:pPr>
        <w:pStyle w:val="Reference"/>
      </w:pPr>
      <w:r>
        <w:rPr>
          <w:b/>
        </w:rPr>
        <w:t xml:space="preserve">73. </w:t>
      </w:r>
      <w:r>
        <w:t>Müller J, Sharmin S, Lorscheider J, et al. Standardized definition of progression independent of relapse activity (PIRA) in relapsing-remitting multiple sclerosis. JAMA Neurol 2025;82:614–625. doi:10.1001/jamaneurol.2025.0495. PMID:40227706.</w:t>
      </w:r>
    </w:p>
    <w:p>
      <w:pPr>
        <w:pStyle w:val="Reference"/>
      </w:pPr>
      <w:r>
        <w:rPr>
          <w:b/>
        </w:rPr>
        <w:t xml:space="preserve">74. </w:t>
      </w:r>
      <w:r>
        <w:t>Poretto V, et al. Machine learning prediction of progression independent of relapse activity in newly diagnosed multiple sclerosis. 2025. PMID:41312659.</w:t>
      </w:r>
    </w:p>
    <w:p>
      <w:pPr>
        <w:pStyle w:val="Reference"/>
      </w:pPr>
      <w:r>
        <w:rPr>
          <w:b/>
        </w:rPr>
        <w:t xml:space="preserve">75. </w:t>
      </w:r>
      <w:r>
        <w:t>Cagol A, et al. Multimodal prediction of disability progression and PIRA in multiple sclerosis. Adv Sci 2026. doi:10.1002/advs.202512946. PMID:41527428.</w:t>
      </w:r>
    </w:p>
    <w:p>
      <w:pPr>
        <w:pStyle w:val="Reference"/>
      </w:pPr>
      <w:r>
        <w:rPr>
          <w:b/>
        </w:rPr>
        <w:t xml:space="preserve">76. </w:t>
      </w:r>
      <w:r>
        <w:t>Eshaghi A, Young AL, Wijeratne PA, et al. Identifying multiple sclerosis subtypes using unsupervised machine learning and MRI data. Nat Commun 2021;12:2078. doi:10.1038/s41467-021-22265-2. PMID:33824310.</w:t>
      </w:r>
    </w:p>
    <w:p>
      <w:pPr>
        <w:pStyle w:val="Reference"/>
      </w:pPr>
      <w:r>
        <w:rPr>
          <w:b/>
        </w:rPr>
        <w:t xml:space="preserve">77. </w:t>
      </w:r>
      <w:r>
        <w:t>Ganjgahi H, Häring DA, Aarden P, et al. AI-driven reclassification of multiple sclerosis progression. Nat Med 2025;31:3414–3424. doi:10.1038/s41591-025-03901-6.</w:t>
      </w:r>
    </w:p>
    <w:p>
      <w:pPr>
        <w:pStyle w:val="Reference"/>
      </w:pPr>
      <w:r>
        <w:rPr>
          <w:b/>
        </w:rPr>
        <w:t xml:space="preserve">78. </w:t>
      </w:r>
      <w:r>
        <w:t>US Food and Drug Administration. Pixyl.Neuro 510(k) Premarket Notification K213253: summary and decision record. FDA, 2023. https://www.accessdata.fda.gov/scripts/cdrh/cfdocs/cfpmn/pmn.cfm?ID=K213253 (accessed 21 July 2026).</w:t>
      </w:r>
    </w:p>
    <w:p>
      <w:pPr>
        <w:pStyle w:val="Reference"/>
      </w:pPr>
      <w:r>
        <w:rPr>
          <w:b/>
        </w:rPr>
        <w:t xml:space="preserve">79. </w:t>
      </w:r>
      <w:r>
        <w:t>US Food and Drug Administration. icobrain 510(k) Premarket Notification K192130: summary and decision record. FDA, 2019. https://www.accessdata.fda.gov/scripts/cdrh/cfdocs/cfpmn/pmn.cfm?ID=K192130 (accessed 21 July 2026).</w:t>
      </w:r>
    </w:p>
    <w:p>
      <w:pPr>
        <w:pStyle w:val="Reference"/>
      </w:pPr>
      <w:r>
        <w:rPr>
          <w:b/>
        </w:rPr>
        <w:t xml:space="preserve">80. </w:t>
      </w:r>
      <w:r>
        <w:t>US Food and Drug Administration. NeuroQuant 510(k) Premarket Notification K241098: summary and decision record. FDA, 2024. https://www.accessdata.fda.gov/scripts/cdrh/cfdocs/cfpmn/pmn.cfm?ID=K241098 (accessed 21 July 2026).</w:t>
      </w:r>
    </w:p>
    <w:p>
      <w:pPr>
        <w:pStyle w:val="Reference"/>
      </w:pPr>
      <w:r>
        <w:rPr>
          <w:b/>
        </w:rPr>
        <w:t xml:space="preserve">81. </w:t>
      </w:r>
      <w:r>
        <w:t>National Institute for Health and Care Excellence. Quantitative magnetic resonance imaging for multiple sclerosis: Medtech innovation briefing MIB291. NICE, 2022. https://www.nice.org.uk/advice/mib291 (accessed 21 July 2026).</w:t>
      </w:r>
    </w:p>
    <w:p>
      <w:pPr>
        <w:pStyle w:val="Reference"/>
      </w:pPr>
      <w:r>
        <w:rPr>
          <w:b/>
        </w:rPr>
        <w:t xml:space="preserve">82. </w:t>
      </w:r>
      <w:r>
        <w:t>Sima DM, Horáková D, Wuerfel J, et al. Health economic impact of software-assisted brain MRI on therapeutic decisions in multiple sclerosis. Brain Sci 2021;11:1570. doi:10.3390/brainsci11121570. PMID:34942872.</w:t>
      </w:r>
    </w:p>
    <w:p>
      <w:pPr>
        <w:pStyle w:val="Reference"/>
      </w:pPr>
      <w:r>
        <w:rPr>
          <w:b/>
        </w:rPr>
        <w:t xml:space="preserve">83. </w:t>
      </w:r>
      <w:r>
        <w:t>ISRCTN Registry. AssistMS: artificial-intelligence-assisted MRI reporting in multiple sclerosis. ISRCTN99207647. https://www.isrctn.com/ISRCTN99207647 (accessed 21 July 2026).</w:t>
      </w:r>
    </w:p>
    <w:sectPr w:rsidR="00FC693F" w:rsidRPr="0006063C" w:rsidSect="00034616">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67085"/>
        <w:sz w:val="16"/>
      </w:rPr>
      <w:t>Artificial intelligence in multiple sclerosis MRI · Survey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0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line="252" w:lineRule="auto"/>
      <w:outlineLvl w:val="0"/>
    </w:pPr>
    <w:rPr>
      <w:rFonts w:asciiTheme="majorHAnsi" w:eastAsiaTheme="majorEastAsia" w:hAnsiTheme="majorHAnsi" w:cstheme="majorBidi" w:ascii="Times New Roman" w:hAnsi="Times New Roman"/>
      <w:b/>
      <w:bCs/>
      <w:color w:val="243B64"/>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Times New Roman" w:hAnsi="Times New Roman"/>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Times New Roman" w:hAnsi="Times New Roman"/>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jc w:val="center"/>
    </w:pPr>
    <w:rPr>
      <w:rFonts w:asciiTheme="majorHAnsi" w:eastAsiaTheme="majorEastAsia" w:hAnsiTheme="majorHAnsi" w:cstheme="majorBidi"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8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66708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52" w:lineRule="auto" w:after="60"/>
      <w:ind w:left="397" w:hanging="397"/>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Survey of Artificial Intelligence in Multiple Sclerosis MRI</dc:title>
  <dc:subject>Datasets, technical performance, evidence quality, and clinical translation</dc:subject>
  <dc:creator>[Author placeholders]</dc:creator>
  <cp:keywords>multiple sclerosis; MRI; artificial intelligence; datasets; validation; clinical translation</cp:keywords>
  <dc:description>AI-assisted research draft—not submission-ready</dc:description>
  <cp:lastModifiedBy/>
  <cp:revision>1</cp:revision>
  <dcterms:created xsi:type="dcterms:W3CDTF">2013-12-23T23:15:00Z</dcterms:created>
  <dcterms:modified xsi:type="dcterms:W3CDTF">2013-12-23T23:15:00Z</dcterms:modified>
  <cp:category/>
</cp:coreProperties>
</file>