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1A1A1A"/>
          <w:sz w:val="44"/>
          <w:szCs w:val="44"/>
        </w:rPr>
        <w:t xml:space="preserve">이은주</w:t>
      </w:r>
    </w:p>
    <w:p>
      <w:pPr>
        <w:pBdr>
          <w:bottom w:val="single" w:color="E5E7EB" w:sz="6" w:space="12"/>
        </w:pBdr>
        <w:spacing w:after="4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6B7280"/>
          <w:sz w:val="20"/>
          <w:szCs w:val="20"/>
        </w:rPr>
        <w:t xml:space="preserve">공공기관 경영기획 · 자산운용 · 창업지원</w:t>
      </w:r>
    </w:p>
    <w:p>
      <w:pPr>
        <w:spacing w:after="160"/>
      </w:pPr>
    </w:p>
    <w:p>
      <w:pPr>
        <w:pBdr>
          <w:bottom w:val="single" w:color="E5E7EB" w:sz="4" w:space="8"/>
        </w:pBdr>
        <w:spacing w:after="240" w:before="360"/>
      </w:pPr>
      <w:r>
        <w:rPr>
          <w:rFonts w:ascii="Malgun Gothic" w:cs="Malgun Gothic" w:eastAsia="Malgun Gothic" w:hAnsi="Malgun Gothic"/>
          <w:b/>
          <w:bCs/>
          <w:color w:val="2563EB"/>
          <w:sz w:val="22"/>
          <w:szCs w:val="22"/>
        </w:rPr>
        <w:t xml:space="preserve">■  </w:t>
      </w:r>
      <w:r>
        <w:rPr>
          <w:rFonts w:ascii="Malgun Gothic" w:cs="Malgun Gothic" w:eastAsia="Malgun Gothic" w:hAnsi="Malgun Gothic"/>
          <w:b/>
          <w:bCs/>
          <w:color w:val="6B7280"/>
          <w:sz w:val="22"/>
          <w:szCs w:val="22"/>
        </w:rPr>
        <w:t xml:space="preserve">01  </w:t>
      </w:r>
      <w:r>
        <w:rPr>
          <w:rFonts w:ascii="Malgun Gothic" w:cs="Malgun Gothic" w:eastAsia="Malgun Gothic" w:hAnsi="Malgun Gothic"/>
          <w:b/>
          <w:bCs/>
          <w:color w:val="1A1A1A"/>
          <w:sz w:val="30"/>
          <w:szCs w:val="30"/>
        </w:rPr>
        <w:t xml:space="preserve">About</w:t>
      </w:r>
    </w:p>
    <w:p>
      <w:pPr>
        <w:spacing w:after="100" w:before="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공공기관에서 경영기획, 자산운용, 창업지원 업무를 2011년부터 담당해 왔습니다.</w:t>
      </w:r>
    </w:p>
    <w:p>
      <w:pPr>
        <w:spacing w:after="200" w:before="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현재는 정부, 지자체, 공공기관, 대기업, 스타트업, 액셀러레이터·벤처캐피탈이 참여하는 창업지원 및 오픈이노베이션 사업을 기획하고 운영하고 있습니다.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6B7280"/>
          <w:sz w:val="19"/>
          <w:szCs w:val="19"/>
        </w:rPr>
        <w:t xml:space="preserve">15년  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공공기관 경력 (2011–현재)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6B7280"/>
          <w:sz w:val="19"/>
          <w:szCs w:val="19"/>
        </w:rPr>
        <w:t xml:space="preserve">100억원  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연간 임대수익 최초 달성 (2022)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6B7280"/>
          <w:sz w:val="19"/>
          <w:szCs w:val="19"/>
        </w:rPr>
        <w:t xml:space="preserve">35억 → 82억원  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창업도약패키지 연간 운영 규모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6B7280"/>
          <w:sz w:val="19"/>
          <w:szCs w:val="19"/>
        </w:rPr>
        <w:t xml:space="preserve">S등급 · 1위  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2025 창업도약패키지 사업평가 · 12개 기관 중</w:t>
      </w:r>
    </w:p>
    <w:p>
      <w:pPr>
        <w:spacing w:after="120"/>
      </w:pPr>
    </w:p>
    <w:p>
      <w:pPr>
        <w:pBdr>
          <w:bottom w:val="single" w:color="E5E7EB" w:sz="4" w:space="8"/>
        </w:pBdr>
        <w:spacing w:after="240" w:before="360"/>
      </w:pPr>
      <w:r>
        <w:rPr>
          <w:rFonts w:ascii="Malgun Gothic" w:cs="Malgun Gothic" w:eastAsia="Malgun Gothic" w:hAnsi="Malgun Gothic"/>
          <w:b/>
          <w:bCs/>
          <w:color w:val="2563EB"/>
          <w:sz w:val="22"/>
          <w:szCs w:val="22"/>
        </w:rPr>
        <w:t xml:space="preserve">■  </w:t>
      </w:r>
      <w:r>
        <w:rPr>
          <w:rFonts w:ascii="Malgun Gothic" w:cs="Malgun Gothic" w:eastAsia="Malgun Gothic" w:hAnsi="Malgun Gothic"/>
          <w:b/>
          <w:bCs/>
          <w:color w:val="6B7280"/>
          <w:sz w:val="22"/>
          <w:szCs w:val="22"/>
        </w:rPr>
        <w:t xml:space="preserve">02  </w:t>
      </w:r>
      <w:r>
        <w:rPr>
          <w:rFonts w:ascii="Malgun Gothic" w:cs="Malgun Gothic" w:eastAsia="Malgun Gothic" w:hAnsi="Malgun Gothic"/>
          <w:b/>
          <w:bCs/>
          <w:color w:val="1A1A1A"/>
          <w:sz w:val="30"/>
          <w:szCs w:val="30"/>
        </w:rPr>
        <w:t xml:space="preserve">Resume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중앙정부, 인천광역시, 인천경제자유구역청 등 공공부문 사업 기획·운영 경험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경영기획·성과관리 → 자산운용·임대관리 → 창업지원·민관협력으로 업무 영역 확대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중소벤처기업부, 인천시, 인천경제자유구역청의 창업지원 사업을 두루 경험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정부·지자체·공공기관·대기업·스타트업·AC/VC 등 다양한 이해관계자 간 협업 및 사업 운영</w:t>
      </w:r>
    </w:p>
    <w:p>
      <w:pPr>
        <w:spacing w:after="160"/>
      </w:pPr>
    </w:p>
    <w:p>
      <w:pPr>
        <w:spacing w:after="80" w:before="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6B7280"/>
          <w:sz w:val="17"/>
          <w:szCs w:val="17"/>
        </w:rPr>
        <w:t xml:space="preserve">Career Summary</w:t>
      </w:r>
    </w:p>
    <w:tbl>
      <w:tblPr>
        <w:tblW w:type="dxa" w:w="10080"/>
        <w:tblBorders>
          <w:top w:val="single" w:color="E5E7EB" w:sz="4"/>
          <w:left w:val="single" w:color="E5E7EB" w:sz="4"/>
          <w:bottom w:val="single" w:color="E5E7EB" w:sz="4"/>
          <w:right w:val="single" w:color="E5E7EB" w:sz="4"/>
          <w:insideH w:val="single" w:color="E5E7EB" w:sz="4"/>
          <w:insideV w:val="single" w:color="E5E7EB" w:sz="4"/>
        </w:tblBorders>
      </w:tblPr>
      <w:tblGrid>
        <w:gridCol w:w="1800"/>
        <w:gridCol w:w="3660"/>
        <w:gridCol w:w="3900"/>
      </w:tblGrid>
      <w:tr>
        <w:trPr>
          <w:tblHeader/>
        </w:trPr>
        <w:tc>
          <w:tcPr>
            <w:tcW w:type="dxa" w:w="1800"/>
            <w:shd w:fill="2563E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기간</w:t>
            </w:r>
          </w:p>
        </w:tc>
        <w:tc>
          <w:tcPr>
            <w:tcW w:type="dxa" w:w="3660"/>
            <w:shd w:fill="2563E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소속 / 직급</w:t>
            </w:r>
          </w:p>
        </w:tc>
        <w:tc>
          <w:tcPr>
            <w:tcW w:type="dxa" w:w="3900"/>
            <w:shd w:fill="2563E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주요 업무</w:t>
            </w:r>
          </w:p>
        </w:tc>
      </w:tr>
      <w:tr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2011–2016</w:t>
            </w:r>
          </w:p>
        </w:tc>
        <w:tc>
          <w:tcPr>
            <w:tcW w:type="dxa" w:w="366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인천정보산업진흥원 / 기획조정팀 · 주임</w:t>
            </w:r>
          </w:p>
        </w:tc>
        <w:tc>
          <w:tcPr>
            <w:tcW w:type="dxa" w:w="39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경영기획 · 경영평가 · 기관홍보</w:t>
            </w:r>
          </w:p>
        </w:tc>
      </w:tr>
      <w:tr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2016–2019</w:t>
            </w:r>
          </w:p>
        </w:tc>
        <w:tc>
          <w:tcPr>
            <w:tcW w:type="dxa" w:w="366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인천테크노파크 / 기획평가팀 · 대리</w:t>
            </w:r>
          </w:p>
        </w:tc>
        <w:tc>
          <w:tcPr>
            <w:tcW w:type="dxa" w:w="39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경영기획 · 성과평가 · 기관통합 후속업무 · 실무위원회 운영</w:t>
            </w:r>
          </w:p>
        </w:tc>
      </w:tr>
      <w:tr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2019–2023</w:t>
            </w:r>
          </w:p>
        </w:tc>
        <w:tc>
          <w:tcPr>
            <w:tcW w:type="dxa" w:w="366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인천테크노파크 / 단지지원팀 · 과장</w:t>
            </w:r>
          </w:p>
        </w:tc>
        <w:tc>
          <w:tcPr>
            <w:tcW w:type="dxa" w:w="39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자산운용 · 임대관리 · 입주기업 관리</w:t>
            </w:r>
          </w:p>
        </w:tc>
      </w:tr>
      <w:tr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2023–2026</w:t>
            </w:r>
          </w:p>
        </w:tc>
        <w:tc>
          <w:tcPr>
            <w:tcW w:type="dxa" w:w="366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인천테크노파크 / 혁신창업센터 · 과장</w:t>
            </w:r>
          </w:p>
        </w:tc>
        <w:tc>
          <w:tcPr>
            <w:tcW w:type="dxa" w:w="39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창업도약패키지 사업 운영 총괄 · 창업지원</w:t>
            </w:r>
          </w:p>
        </w:tc>
      </w:tr>
      <w:tr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2024–현재</w:t>
            </w:r>
          </w:p>
        </w:tc>
        <w:tc>
          <w:tcPr>
            <w:tcW w:type="dxa" w:w="366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인천테크노파크 / 혁신창업센터 · 차장</w:t>
            </w:r>
          </w:p>
        </w:tc>
        <w:tc>
          <w:tcPr>
            <w:tcW w:type="dxa" w:w="39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창업생태계 · 민간주도 스타트업육성 · AC 협의회 운영지원</w:t>
            </w:r>
          </w:p>
        </w:tc>
      </w:tr>
      <w:tr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2026–현재</w:t>
            </w:r>
          </w:p>
        </w:tc>
        <w:tc>
          <w:tcPr>
            <w:tcW w:type="dxa" w:w="366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인천테크노파크 / 혁신창업센터 · 차장</w:t>
            </w:r>
          </w:p>
        </w:tc>
        <w:tc>
          <w:tcPr>
            <w:tcW w:type="dxa" w:w="39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민관협력 오픈이노베이션 · 글로벌 실증사업 총괄</w:t>
            </w:r>
          </w:p>
        </w:tc>
      </w:tr>
    </w:tbl>
    <w:p>
      <w:pPr>
        <w:spacing w:after="200"/>
      </w:pPr>
    </w:p>
    <w:p>
      <w:pPr>
        <w:pBdr>
          <w:bottom w:val="single" w:color="E5E7EB" w:sz="4" w:space="8"/>
        </w:pBdr>
        <w:spacing w:after="240" w:before="360"/>
      </w:pPr>
      <w:r>
        <w:rPr>
          <w:rFonts w:ascii="Malgun Gothic" w:cs="Malgun Gothic" w:eastAsia="Malgun Gothic" w:hAnsi="Malgun Gothic"/>
          <w:b/>
          <w:bCs/>
          <w:color w:val="2563EB"/>
          <w:sz w:val="22"/>
          <w:szCs w:val="22"/>
        </w:rPr>
        <w:t xml:space="preserve">■  </w:t>
      </w:r>
      <w:r>
        <w:rPr>
          <w:rFonts w:ascii="Malgun Gothic" w:cs="Malgun Gothic" w:eastAsia="Malgun Gothic" w:hAnsi="Malgun Gothic"/>
          <w:b/>
          <w:bCs/>
          <w:color w:val="6B7280"/>
          <w:sz w:val="22"/>
          <w:szCs w:val="22"/>
        </w:rPr>
        <w:t xml:space="preserve">03  </w:t>
      </w:r>
      <w:r>
        <w:rPr>
          <w:rFonts w:ascii="Malgun Gothic" w:cs="Malgun Gothic" w:eastAsia="Malgun Gothic" w:hAnsi="Malgun Gothic"/>
          <w:b/>
          <w:bCs/>
          <w:color w:val="1A1A1A"/>
          <w:sz w:val="30"/>
          <w:szCs w:val="30"/>
        </w:rPr>
        <w:t xml:space="preserve">Experience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color="auto" w:val="clear"/>
            <w:tcMar>
              <w:top w:type="dxa" w:w="200"/>
              <w:left w:type="dxa" w:w="220"/>
              <w:bottom w:type="dxa" w:w="200"/>
              <w:right w:type="dxa" w:w="220"/>
            </w:tcMar>
          </w:tcPr>
          <w:p>
            <w:pPr>
              <w:spacing w:after="12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2011–2019   </w:t>
            </w: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경영기획·성과관리</w:t>
            </w:r>
          </w:p>
          <w:p>
            <w:pPr>
              <w:spacing w:after="160" w:before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6B7280"/>
                <w:sz w:val="19"/>
                <w:szCs w:val="19"/>
              </w:rPr>
              <w:t xml:space="preserve">조직의 경영계획과 성과관리 체계를 수립하고, 부서별 성과지표 설계·운영을 통해 조직의 성과관리 및 경영평가 대응 업무를 담당했습니다.</w:t>
            </w:r>
          </w:p>
          <w:p>
            <w:pPr>
              <w:spacing w:after="8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6B7280"/>
                <w:sz w:val="17"/>
                <w:szCs w:val="17"/>
              </w:rPr>
              <w:t xml:space="preserve">주요 업무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중소벤처기업부·인천광역시 경영평가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직원 성과평가 체계 설계 및 운영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법인 통합 후속업무 및 경영시스템 고도화 용역 운영지원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법인 실무위원회 운영 및 주요 경영안건 관리</w:t>
            </w:r>
          </w:p>
          <w:p>
            <w:pPr>
              <w:spacing w:after="80"/>
            </w:pPr>
          </w:p>
          <w:p>
            <w:pPr>
              <w:spacing w:after="8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6B7280"/>
                <w:sz w:val="17"/>
                <w:szCs w:val="17"/>
              </w:rPr>
              <w:t xml:space="preserve">주요 성과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27개 부서 정량 성과평가체계 및 성과지표 도입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2019년 중소벤처기업부 경영평가 S등급 달성에 기여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법인통합 성과 기여로 인천시장 표창 수상('17)</w:t>
            </w:r>
          </w:p>
        </w:tc>
      </w:tr>
    </w:tbl>
    <w:p>
      <w:pPr>
        <w:spacing w:after="24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color="auto" w:val="clear"/>
            <w:tcMar>
              <w:top w:type="dxa" w:w="200"/>
              <w:left w:type="dxa" w:w="220"/>
              <w:bottom w:type="dxa" w:w="200"/>
              <w:right w:type="dxa" w:w="220"/>
            </w:tcMar>
          </w:tcPr>
          <w:p>
            <w:pPr>
              <w:spacing w:after="12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2019–2023   </w:t>
            </w: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자산운용·임대관리</w:t>
            </w:r>
          </w:p>
          <w:p>
            <w:pPr>
              <w:spacing w:after="160" w:before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6B7280"/>
                <w:sz w:val="19"/>
                <w:szCs w:val="19"/>
              </w:rPr>
              <w:t xml:space="preserve">법인 소유 자산의 운용과 임대관리를 담당하고, 입주공간·임대차 계약 및 임대수익을 체계적으로 관리하며 자산 운영 효율화를 추진했습니다.</w:t>
            </w:r>
          </w:p>
          <w:p>
            <w:pPr>
              <w:spacing w:after="8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6B7280"/>
                <w:sz w:val="17"/>
                <w:szCs w:val="17"/>
              </w:rPr>
              <w:t xml:space="preserve">주요 업무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법인 소유 5개 건물 자산운용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총 63,835㎡, 120여개 입주공간 임대 및 입주기업 관리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일반임대 및 근린상가 입주·계약연장·퇴거 관리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임대관리비 청구 및 정산, 수입결의, 명도 및 쟁송관리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임대 및 입주기업 관련 민원 대응</w:t>
            </w:r>
          </w:p>
          <w:p>
            <w:pPr>
              <w:spacing w:after="80"/>
            </w:pPr>
          </w:p>
          <w:p>
            <w:pPr>
              <w:spacing w:after="8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6B7280"/>
                <w:sz w:val="17"/>
                <w:szCs w:val="17"/>
              </w:rPr>
              <w:t xml:space="preserve">주요 성과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연간 임대수익 100억 원 최초 달성('22)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입주율 94.3% 달성('22), 전년 대비 11.9%p 개선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전략적 렌트프리 정책 도입으로 '21~'22년 12,600㎡ 신규 입주, 17억 추가 임대수입 발생</w:t>
            </w:r>
          </w:p>
        </w:tc>
      </w:tr>
    </w:tbl>
    <w:p>
      <w:pPr>
        <w:spacing w:after="24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color="auto" w:val="clear"/>
            <w:tcMar>
              <w:top w:type="dxa" w:w="200"/>
              <w:left w:type="dxa" w:w="220"/>
              <w:bottom w:type="dxa" w:w="200"/>
              <w:right w:type="dxa" w:w="220"/>
            </w:tcMar>
          </w:tcPr>
          <w:p>
            <w:pPr>
              <w:spacing w:after="12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2023–2026   </w:t>
            </w: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창업지원·창업생태계·민관협력</w:t>
            </w:r>
          </w:p>
          <w:p>
            <w:pPr>
              <w:spacing w:after="160" w:before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6B7280"/>
                <w:sz w:val="19"/>
                <w:szCs w:val="19"/>
              </w:rPr>
              <w:t xml:space="preserve">중소벤처기업부 창업도약패키지 일반형 및 대기업협업형 사업과 인천시 민간주도스타트업육성사업을 운영하며, 지원기업 선정·육성, 사업성과 관리, 민간 투자기관 및 대기업 연계 업무를 담당했습니다.</w:t>
            </w:r>
          </w:p>
          <w:p>
            <w:pPr>
              <w:spacing w:after="8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6B7280"/>
                <w:sz w:val="17"/>
                <w:szCs w:val="17"/>
              </w:rPr>
              <w:t xml:space="preserve">주요 업무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정부 및 지자체 창업지원사업(창업도약패키지 등) 기획·운영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창업생태계 조성 및 민관협력 프로그램 기획·운영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지원기업 선정·육성 및 사업성과 관리 (89개사)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민간 투자기관·대기업·액셀러레이터 연계</w:t>
            </w:r>
          </w:p>
          <w:p>
            <w:pPr>
              <w:spacing w:after="80"/>
            </w:pPr>
          </w:p>
          <w:p>
            <w:pPr>
              <w:spacing w:after="8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6B7280"/>
                <w:sz w:val="17"/>
                <w:szCs w:val="17"/>
              </w:rPr>
              <w:t xml:space="preserve">주요 성과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창업도약패키지 사업평가 등급 향상, '25년 1위(12개 기관 중) ('23 B등급 → '24 A등급 → '25 S등급)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창업도약패키지 사업 규모 확대 (3년간 평균 63%) ('23 35억 → '24 45억 → '25 82억)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창업도약패키지 대기업협업형 신규사업 유치('25, 26억)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민간 액셀러레이터 협의회 발족 등 민관 협력 체계 구축('25.1~)</w:t>
            </w:r>
          </w:p>
        </w:tc>
      </w:tr>
    </w:tbl>
    <w:p>
      <w:pPr>
        <w:spacing w:after="160"/>
      </w:pPr>
    </w:p>
    <w:p>
      <w:pPr>
        <w:spacing w:after="80" w:before="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6B7280"/>
          <w:sz w:val="17"/>
          <w:szCs w:val="17"/>
        </w:rPr>
        <w:t xml:space="preserve">▸ 주요 사업 상세</w:t>
      </w:r>
    </w:p>
    <w:tbl>
      <w:tblPr>
        <w:tblW w:type="dxa" w:w="10080"/>
        <w:tblBorders>
          <w:top w:val="single" w:color="E5E7EB" w:sz="4"/>
          <w:left w:val="single" w:color="E5E7EB" w:sz="4"/>
          <w:bottom w:val="single" w:color="E5E7EB" w:sz="4"/>
          <w:right w:val="single" w:color="E5E7EB" w:sz="4"/>
          <w:insideH w:val="single" w:color="E5E7EB" w:sz="4"/>
          <w:insideV w:val="single" w:color="E5E7EB" w:sz="4"/>
        </w:tblBorders>
      </w:tblPr>
      <w:tblGrid>
        <w:gridCol w:w="2200"/>
        <w:gridCol w:w="1800"/>
        <w:gridCol w:w="2680"/>
        <w:gridCol w:w="2680"/>
      </w:tblGrid>
      <w:tr>
        <w:trPr>
          <w:tblHeader/>
        </w:trPr>
        <w:tc>
          <w:tcPr>
            <w:tcW w:type="dxa" w:w="2200"/>
            <w:shd w:fill="2563E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사업명</w:t>
            </w:r>
          </w:p>
        </w:tc>
        <w:tc>
          <w:tcPr>
            <w:tcW w:type="dxa" w:w="1800"/>
            <w:shd w:fill="2563E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사업예산 / 지원기업 수</w:t>
            </w:r>
          </w:p>
        </w:tc>
        <w:tc>
          <w:tcPr>
            <w:tcW w:type="dxa" w:w="2680"/>
            <w:shd w:fill="2563E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사업 내용</w:t>
            </w:r>
          </w:p>
        </w:tc>
        <w:tc>
          <w:tcPr>
            <w:tcW w:type="dxa" w:w="2680"/>
            <w:shd w:fill="2563E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주요 성과</w:t>
            </w:r>
          </w:p>
        </w:tc>
      </w:tr>
      <w:t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2023 창업도약패키지 (중소벤처기업부)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30억 원 / 18개사</w:t>
            </w:r>
          </w:p>
        </w:tc>
        <w:tc>
          <w:tcPr>
            <w:tcW w:type="dxa" w:w="268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창업도약기(3~7년차) 기업에 사업화자금 및 프로그램 지원</w:t>
            </w:r>
          </w:p>
        </w:tc>
        <w:tc>
          <w:tcPr>
            <w:tcW w:type="dxa" w:w="268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사업평가 B등급, 선정경쟁률 7:1, 지원기업 매출액 230억 원(협약기간 내)</w:t>
            </w:r>
          </w:p>
        </w:tc>
      </w:tr>
      <w:t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2024 창업도약패키지 (중소벤처기업부)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45억 원 / 24개사</w:t>
            </w:r>
          </w:p>
        </w:tc>
        <w:tc>
          <w:tcPr>
            <w:tcW w:type="dxa" w:w="268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창업도약기(3~7년차) 기업에 사업화자금 및 프로그램 지원</w:t>
            </w:r>
          </w:p>
        </w:tc>
        <w:tc>
          <w:tcPr>
            <w:tcW w:type="dxa" w:w="268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사업평가 A등급, 선정경쟁률 9:1, 지원기업 매출액 515억 원(협약기간 내)</w:t>
            </w:r>
          </w:p>
        </w:tc>
      </w:tr>
      <w:t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2025 창업도약패키지 (중소벤처기업부)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82억 원 / 47개사</w:t>
            </w:r>
          </w:p>
        </w:tc>
        <w:tc>
          <w:tcPr>
            <w:tcW w:type="dxa" w:w="268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창업도약기(3~7년차) 기업에 사업화자금 및 프로그램 지원(일반형), 현대건설과 PoC 지원(대기업협업형)</w:t>
            </w:r>
          </w:p>
        </w:tc>
        <w:tc>
          <w:tcPr>
            <w:tcW w:type="dxa" w:w="268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사업평가 S등급, 선정경쟁률 17:1, 지원기업 매출액 1,312억 원(협약기간 내)</w:t>
            </w:r>
          </w:p>
        </w:tc>
      </w:tr>
      <w:t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2025 민간주도스타트업육성 (인천시)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0.5억 원 / 7개사</w:t>
            </w:r>
          </w:p>
        </w:tc>
        <w:tc>
          <w:tcPr>
            <w:tcW w:type="dxa" w:w="268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민간 AC협의체 설립, AC협의회 공동프로그램 운영, 산학연 인재매칭 등</w:t>
            </w:r>
          </w:p>
        </w:tc>
        <w:tc>
          <w:tcPr>
            <w:tcW w:type="dxa" w:w="268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인천AC협의회 발족('25.1, 16개사), 밋업데이('25.9, 141명), 벤처창업 인사이트데이('25.11, 100명), 잡매칭데이('25.11, 224명)</w:t>
            </w:r>
          </w:p>
        </w:tc>
      </w:tr>
    </w:tbl>
    <w:p>
      <w:pPr>
        <w:spacing w:after="24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color="auto" w:val="clear"/>
            <w:tcMar>
              <w:top w:type="dxa" w:w="200"/>
              <w:left w:type="dxa" w:w="220"/>
              <w:bottom w:type="dxa" w:w="200"/>
              <w:right w:type="dxa" w:w="220"/>
            </w:tcMar>
          </w:tcPr>
          <w:p>
            <w:pPr>
              <w:spacing w:after="12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2026–현재   </w:t>
            </w: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오픈이노베이션·글로벌 실증</w:t>
            </w:r>
          </w:p>
          <w:p>
            <w:pPr>
              <w:spacing w:after="160" w:before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6B7280"/>
                <w:sz w:val="19"/>
                <w:szCs w:val="19"/>
              </w:rPr>
              <w:t xml:space="preserve">중소벤처기업부 민관협력 오픈이노베이션 사업을 통해 한국수자원공사 수요 기반 중소기업 PoC 실증을 지원하고, 인천스타트업파크 글로벌 실증사업을 통해 스타트업의 해외시장 진출을 위한 현지 파트너 연계 업무를 수행하고 있습니다.</w:t>
            </w:r>
          </w:p>
          <w:p>
            <w:pPr>
              <w:spacing w:after="8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6B7280"/>
                <w:sz w:val="17"/>
                <w:szCs w:val="17"/>
              </w:rPr>
              <w:t xml:space="preserve">주요 업무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중앙정부 및 경제자유구역청 창업지원사업 기획·운영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공공기관 수요 기반 오픈이노베이션 사업 운영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해외 수요처 기반 글로벌 실증사업 운영</w:t>
            </w:r>
          </w:p>
          <w:p>
            <w:pPr>
              <w:spacing w:after="80"/>
            </w:pPr>
          </w:p>
          <w:p>
            <w:pPr>
              <w:spacing w:after="8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6B7280"/>
                <w:sz w:val="17"/>
                <w:szCs w:val="17"/>
              </w:rPr>
              <w:t xml:space="preserve">주요 성과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민관협력 오픈이노베이션 사업 추진 (예산 25억 원)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글로벌 실증사업 추진 (예산 6억 원)</w:t>
            </w:r>
          </w:p>
        </w:tc>
      </w:tr>
    </w:tbl>
    <w:p>
      <w:pPr>
        <w:spacing w:after="160"/>
      </w:pPr>
    </w:p>
    <w:p>
      <w:pPr>
        <w:spacing w:after="80" w:before="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6B7280"/>
          <w:sz w:val="17"/>
          <w:szCs w:val="17"/>
        </w:rPr>
        <w:t xml:space="preserve">▸ 주요 사업 상세</w:t>
      </w:r>
    </w:p>
    <w:tbl>
      <w:tblPr>
        <w:tblW w:type="dxa" w:w="10080"/>
        <w:tblBorders>
          <w:top w:val="single" w:color="E5E7EB" w:sz="4"/>
          <w:left w:val="single" w:color="E5E7EB" w:sz="4"/>
          <w:bottom w:val="single" w:color="E5E7EB" w:sz="4"/>
          <w:right w:val="single" w:color="E5E7EB" w:sz="4"/>
          <w:insideH w:val="single" w:color="E5E7EB" w:sz="4"/>
          <w:insideV w:val="single" w:color="E5E7EB" w:sz="4"/>
        </w:tblBorders>
      </w:tblPr>
      <w:tblGrid>
        <w:gridCol w:w="2200"/>
        <w:gridCol w:w="1800"/>
        <w:gridCol w:w="2680"/>
        <w:gridCol w:w="2680"/>
      </w:tblGrid>
      <w:tr>
        <w:trPr>
          <w:tblHeader/>
        </w:trPr>
        <w:tc>
          <w:tcPr>
            <w:tcW w:type="dxa" w:w="2200"/>
            <w:shd w:fill="2563E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사업명</w:t>
            </w:r>
          </w:p>
        </w:tc>
        <w:tc>
          <w:tcPr>
            <w:tcW w:type="dxa" w:w="1800"/>
            <w:shd w:fill="2563E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사업예산 / 지원기업 수</w:t>
            </w:r>
          </w:p>
        </w:tc>
        <w:tc>
          <w:tcPr>
            <w:tcW w:type="dxa" w:w="2680"/>
            <w:shd w:fill="2563E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사업 내용</w:t>
            </w:r>
          </w:p>
        </w:tc>
        <w:tc>
          <w:tcPr>
            <w:tcW w:type="dxa" w:w="2680"/>
            <w:shd w:fill="2563E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주요 성과</w:t>
            </w:r>
          </w:p>
        </w:tc>
      </w:tr>
      <w:t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2026 민관협력 오픈이노베이션-모두의챌린지 기후테크 (중소벤처기업부)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25억 원 / 22개사</w:t>
            </w:r>
          </w:p>
        </w:tc>
        <w:tc>
          <w:tcPr>
            <w:tcW w:type="dxa" w:w="268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한국수자원공사와 PoC 지원</w:t>
            </w:r>
          </w:p>
        </w:tc>
        <w:tc>
          <w:tcPr>
            <w:tcW w:type="dxa" w:w="268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추진기간 2026.06.~</w:t>
            </w:r>
          </w:p>
        </w:tc>
      </w:tr>
      <w:t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2026 인천스타트업파크 TRYOUT 실증 (인천경제자유구역청)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30억 원 / 18개사</w:t>
            </w:r>
          </w:p>
        </w:tc>
        <w:tc>
          <w:tcPr>
            <w:tcW w:type="dxa" w:w="268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글로벌 실증사업 총괄</w:t>
            </w:r>
          </w:p>
        </w:tc>
        <w:tc>
          <w:tcPr>
            <w:tcW w:type="dxa" w:w="268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추진기간 2026.09.~</w:t>
            </w:r>
          </w:p>
        </w:tc>
      </w:tr>
    </w:tbl>
    <w:p>
      <w:pPr>
        <w:spacing w:after="240"/>
      </w:pPr>
    </w:p>
    <w:p>
      <w:pPr>
        <w:pBdr>
          <w:bottom w:val="single" w:color="E5E7EB" w:sz="4" w:space="8"/>
        </w:pBdr>
        <w:spacing w:after="240" w:before="360"/>
      </w:pPr>
      <w:r>
        <w:rPr>
          <w:rFonts w:ascii="Malgun Gothic" w:cs="Malgun Gothic" w:eastAsia="Malgun Gothic" w:hAnsi="Malgun Gothic"/>
          <w:b/>
          <w:bCs/>
          <w:color w:val="2563EB"/>
          <w:sz w:val="22"/>
          <w:szCs w:val="22"/>
        </w:rPr>
        <w:t xml:space="preserve">■  </w:t>
      </w:r>
      <w:r>
        <w:rPr>
          <w:rFonts w:ascii="Malgun Gothic" w:cs="Malgun Gothic" w:eastAsia="Malgun Gothic" w:hAnsi="Malgun Gothic"/>
          <w:b/>
          <w:bCs/>
          <w:color w:val="6B7280"/>
          <w:sz w:val="22"/>
          <w:szCs w:val="22"/>
        </w:rPr>
        <w:t xml:space="preserve">04  </w:t>
      </w:r>
      <w:r>
        <w:rPr>
          <w:rFonts w:ascii="Malgun Gothic" w:cs="Malgun Gothic" w:eastAsia="Malgun Gothic" w:hAnsi="Malgun Gothic"/>
          <w:b/>
          <w:bCs/>
          <w:color w:val="1A1A1A"/>
          <w:sz w:val="30"/>
          <w:szCs w:val="30"/>
        </w:rPr>
        <w:t xml:space="preserve">Profile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6B7280"/>
          <w:sz w:val="19"/>
          <w:szCs w:val="19"/>
        </w:rPr>
        <w:t xml:space="preserve">생년월일  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1986.02.28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6B7280"/>
          <w:sz w:val="19"/>
          <w:szCs w:val="19"/>
        </w:rPr>
        <w:t xml:space="preserve">거주지  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인천광역시 미추홀구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6B7280"/>
          <w:sz w:val="19"/>
          <w:szCs w:val="19"/>
        </w:rPr>
        <w:t xml:space="preserve">학력  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단국대학교 기악과 피아노 전공 (2004.03.~2008.02.)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6B7280"/>
          <w:sz w:val="19"/>
          <w:szCs w:val="19"/>
        </w:rPr>
        <w:t xml:space="preserve">자격  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창업보육전문매니저 (2024.05.18. 취득)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6B7280"/>
          <w:sz w:val="19"/>
          <w:szCs w:val="19"/>
        </w:rPr>
        <w:t xml:space="preserve">언어  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영어 (중급)</w:t>
      </w:r>
    </w:p>
    <w:p>
      <w:pPr>
        <w:spacing w:after="160"/>
      </w:pPr>
    </w:p>
    <w:p>
      <w:pPr>
        <w:pBdr>
          <w:bottom w:val="single" w:color="E5E7EB" w:sz="4" w:space="8"/>
        </w:pBdr>
        <w:spacing w:after="240" w:before="360"/>
      </w:pPr>
      <w:r>
        <w:rPr>
          <w:rFonts w:ascii="Malgun Gothic" w:cs="Malgun Gothic" w:eastAsia="Malgun Gothic" w:hAnsi="Malgun Gothic"/>
          <w:b/>
          <w:bCs/>
          <w:color w:val="2563EB"/>
          <w:sz w:val="22"/>
          <w:szCs w:val="22"/>
        </w:rPr>
        <w:t xml:space="preserve">■  </w:t>
      </w:r>
      <w:r>
        <w:rPr>
          <w:rFonts w:ascii="Malgun Gothic" w:cs="Malgun Gothic" w:eastAsia="Malgun Gothic" w:hAnsi="Malgun Gothic"/>
          <w:b/>
          <w:bCs/>
          <w:color w:val="6B7280"/>
          <w:sz w:val="22"/>
          <w:szCs w:val="22"/>
        </w:rPr>
        <w:t xml:space="preserve">05  </w:t>
      </w:r>
      <w:r>
        <w:rPr>
          <w:rFonts w:ascii="Malgun Gothic" w:cs="Malgun Gothic" w:eastAsia="Malgun Gothic" w:hAnsi="Malgun Gothic"/>
          <w:b/>
          <w:bCs/>
          <w:color w:val="1A1A1A"/>
          <w:sz w:val="30"/>
          <w:szCs w:val="30"/>
        </w:rPr>
        <w:t xml:space="preserve">Contact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6B7280"/>
          <w:sz w:val="19"/>
          <w:szCs w:val="19"/>
        </w:rPr>
        <w:t xml:space="preserve">Name  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이은주 (Lena Lee)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6B7280"/>
          <w:sz w:val="19"/>
          <w:szCs w:val="19"/>
        </w:rPr>
        <w:t xml:space="preserve">Email  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puppling@naver.com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6B7280"/>
          <w:sz w:val="19"/>
          <w:szCs w:val="19"/>
        </w:rPr>
        <w:t xml:space="preserve">Phone  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010-2805-3595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00"/>
      </w:pPr>
      <w:rPr>
        <w:rFonts w:ascii="Malgun Gothic" w:cs="Malgun Gothic" w:eastAsia="Malgun Gothic" w:hAnsi="Malgun Gothic"/>
        <w:color w:val="1A1A1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2026-08-31T15:04:18.241Z</dcterms:created>
  <dcterms:modified xsi:type="dcterms:W3CDTF">2026-08-31T15:04:18.243Z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