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B6F0F">
      <w:pPr>
        <w:spacing w:after="80" w:line="360" w:lineRule="auto"/>
        <w:ind w:firstLine="1441" w:firstLineChars="400"/>
        <w:jc w:val="both"/>
        <w:rPr>
          <w:rFonts w:hint="default" w:ascii="Times New Roman" w:hAnsi="Times New Roman" w:cs="Times New Roman"/>
          <w:b/>
          <w:bCs/>
          <w:sz w:val="36"/>
          <w:szCs w:val="36"/>
          <w:lang w:val="en-US"/>
        </w:rPr>
      </w:pPr>
      <w:r>
        <w:rPr>
          <w:rFonts w:hint="default" w:ascii="Times New Roman" w:hAnsi="Times New Roman" w:eastAsia="Arial" w:cs="Times New Roman"/>
          <w:b/>
          <w:bCs/>
          <w:color w:val="auto"/>
          <w:sz w:val="36"/>
          <w:szCs w:val="36"/>
        </w:rPr>
        <w:t>HEALTHCONNECT CLINIC</w:t>
      </w:r>
      <w:r>
        <w:rPr>
          <w:rFonts w:hint="default" w:ascii="Times New Roman" w:hAnsi="Times New Roman" w:cs="Times New Roman"/>
          <w:b/>
          <w:bCs/>
          <w:color w:val="auto"/>
          <w:sz w:val="36"/>
          <w:szCs w:val="36"/>
          <w:lang w:val="en-US"/>
        </w:rPr>
        <w:t xml:space="preserve"> </w:t>
      </w:r>
      <w:r>
        <w:rPr>
          <w:rFonts w:hint="default" w:ascii="Times New Roman" w:hAnsi="Times New Roman" w:cs="Times New Roman"/>
          <w:b/>
          <w:bCs/>
          <w:sz w:val="36"/>
          <w:szCs w:val="36"/>
          <w:lang w:val="en-US"/>
        </w:rPr>
        <w:t>REPPORT</w:t>
      </w:r>
    </w:p>
    <w:p w14:paraId="707D25D2">
      <w:pPr>
        <w:spacing w:line="72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ANALYSTLAB AFRICA DATA ANALYTICS INTERNSHIP PROGRAM</w:t>
      </w:r>
    </w:p>
    <w:p w14:paraId="7C496C5F">
      <w:pPr>
        <w:spacing w:line="72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WEEK5 PROBLEM SOLVING</w:t>
      </w:r>
      <w:bookmarkStart w:id="0" w:name="_GoBack"/>
      <w:bookmarkEnd w:id="0"/>
      <w:r>
        <w:rPr>
          <w:rFonts w:hint="default" w:ascii="Times New Roman" w:hAnsi="Times New Roman" w:cs="Times New Roman"/>
          <w:b/>
          <w:bCs/>
          <w:sz w:val="36"/>
          <w:szCs w:val="36"/>
          <w:lang w:val="en-US"/>
        </w:rPr>
        <w:t xml:space="preserve"> AND INTIAL ANALYSIS:</w:t>
      </w:r>
    </w:p>
    <w:p w14:paraId="70FF5EB7">
      <w:pPr>
        <w:spacing w:after="80" w:line="360" w:lineRule="auto"/>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IMPROVING PATIENT APPOINTMENT ATTENDANCE</w:t>
      </w:r>
    </w:p>
    <w:p w14:paraId="2CDC7EF4">
      <w:pPr>
        <w:spacing w:line="720" w:lineRule="auto"/>
        <w:jc w:val="center"/>
        <w:rPr>
          <w:rFonts w:hint="default" w:ascii="Times New Roman" w:hAnsi="Times New Roman" w:cs="Times New Roman"/>
          <w:b/>
          <w:bCs/>
          <w:sz w:val="36"/>
          <w:szCs w:val="36"/>
          <w:lang w:val="en-US"/>
        </w:rPr>
      </w:pPr>
    </w:p>
    <w:p w14:paraId="53A44C5E">
      <w:pPr>
        <w:spacing w:line="72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6"/>
          <w:szCs w:val="36"/>
          <w:lang w:val="en-US"/>
        </w:rPr>
        <w:t>PREPARED BY: LAWAL JONATHAN OLADIPUPO</w:t>
      </w:r>
    </w:p>
    <w:p w14:paraId="16E973B6">
      <w:pPr>
        <w:spacing w:after="80" w:line="360" w:lineRule="auto"/>
        <w:jc w:val="both"/>
        <w:rPr>
          <w:rFonts w:hint="default" w:ascii="Times New Roman" w:hAnsi="Times New Roman" w:eastAsia="Arial" w:cs="Times New Roman"/>
          <w:b/>
          <w:bCs/>
          <w:color w:val="1F4E79"/>
          <w:sz w:val="24"/>
          <w:szCs w:val="24"/>
        </w:rPr>
      </w:pPr>
    </w:p>
    <w:p w14:paraId="12270ACB">
      <w:pPr>
        <w:spacing w:after="80" w:line="360" w:lineRule="auto"/>
        <w:jc w:val="both"/>
        <w:rPr>
          <w:rFonts w:hint="default" w:ascii="Times New Roman" w:hAnsi="Times New Roman" w:eastAsia="Arial" w:cs="Times New Roman"/>
          <w:b/>
          <w:bCs/>
          <w:color w:val="1F4E79"/>
          <w:sz w:val="24"/>
          <w:szCs w:val="24"/>
        </w:rPr>
      </w:pPr>
    </w:p>
    <w:p w14:paraId="325FEC06">
      <w:pPr>
        <w:spacing w:after="80" w:line="360" w:lineRule="auto"/>
        <w:jc w:val="both"/>
        <w:rPr>
          <w:rFonts w:hint="default" w:ascii="Times New Roman" w:hAnsi="Times New Roman" w:eastAsia="Arial" w:cs="Times New Roman"/>
          <w:b/>
          <w:bCs/>
          <w:color w:val="1F4E79"/>
          <w:sz w:val="24"/>
          <w:szCs w:val="24"/>
        </w:rPr>
      </w:pPr>
    </w:p>
    <w:p w14:paraId="2F78F9B0">
      <w:pPr>
        <w:spacing w:after="80" w:line="360" w:lineRule="auto"/>
        <w:jc w:val="both"/>
        <w:rPr>
          <w:rFonts w:hint="default" w:ascii="Times New Roman" w:hAnsi="Times New Roman" w:eastAsia="Arial" w:cs="Times New Roman"/>
          <w:b/>
          <w:bCs/>
          <w:color w:val="1F4E79"/>
          <w:sz w:val="24"/>
          <w:szCs w:val="24"/>
        </w:rPr>
      </w:pPr>
    </w:p>
    <w:p w14:paraId="3F12A664">
      <w:pPr>
        <w:spacing w:after="80" w:line="360" w:lineRule="auto"/>
        <w:jc w:val="both"/>
        <w:rPr>
          <w:rFonts w:hint="default" w:ascii="Times New Roman" w:hAnsi="Times New Roman" w:cs="Times New Roman"/>
          <w:b/>
          <w:bCs/>
          <w:color w:val="1F4E79"/>
          <w:sz w:val="24"/>
          <w:szCs w:val="24"/>
          <w:lang w:val="en-US"/>
        </w:rPr>
      </w:pPr>
    </w:p>
    <w:p w14:paraId="1FBC0355">
      <w:pPr>
        <w:spacing w:line="720" w:lineRule="auto"/>
        <w:ind w:left="6409" w:leftChars="3052" w:firstLine="3373" w:firstLineChars="1400"/>
        <w:jc w:val="both"/>
        <w:rPr>
          <w:rFonts w:hint="default" w:ascii="Times New Roman" w:hAnsi="Times New Roman" w:cs="Times New Roman"/>
          <w:b/>
          <w:bCs/>
          <w:sz w:val="24"/>
          <w:szCs w:val="24"/>
          <w:lang w:val="en-US"/>
        </w:rPr>
        <w:sectPr>
          <w:pgSz w:w="12240" w:h="15840"/>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b/>
          <w:bCs/>
          <w:color w:val="1F4E79"/>
          <w:sz w:val="24"/>
          <w:szCs w:val="24"/>
          <w:lang w:val="en-US"/>
        </w:rPr>
        <w:t xml:space="preserve">                                                                                                  </w:t>
      </w:r>
      <w:r>
        <w:rPr>
          <w:rFonts w:hint="default" w:ascii="Times New Roman" w:hAnsi="Times New Roman" w:cs="Times New Roman"/>
          <w:b/>
          <w:bCs/>
          <w:sz w:val="24"/>
          <w:szCs w:val="24"/>
          <w:lang w:val="en-US"/>
        </w:rPr>
        <w:t>DATE: AUGUST, 2026.</w:t>
      </w:r>
    </w:p>
    <w:p w14:paraId="72370AC3">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 xml:space="preserve"> Week 4 → Week 5 Transition</w:t>
      </w:r>
    </w:p>
    <w:p w14:paraId="44D9F6FF">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In Week 4 the core problem was defined as the high volume of appointment no-shows at HealthConnect. The proposed approach was to prepare the appointment data carefully, explore attendance patterns, develop a focused set of KPIs, and turn the findings into practical business insights.</w:t>
      </w:r>
    </w:p>
    <w:p w14:paraId="3B649830">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Relevant resources remain the HealthConnect Appointment Dataset and the Data Dictionary. Key assumptions noted in Week 4 (fictional/anonymised data, missing values, observational nature of the data) are still valid.</w:t>
      </w:r>
    </w:p>
    <w:p w14:paraId="49F24C82">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Week 5 delivers the practical work promised: data preparation documentation, full exploratory analysis, five calculated KPIs, an analytical dashboard, a PowerPoint insight deck, Power BI design guidance, and clear recommendations.</w:t>
      </w:r>
    </w:p>
    <w:p w14:paraId="42F19273">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2. Data Preparation</w:t>
      </w:r>
    </w:p>
    <w:p w14:paraId="0478F6AB">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The original HealthConnect Appointment Dataset (5,000 rows, 18 columns) was inspected and left untouched. A cleaned version was created and saved separately.</w:t>
      </w:r>
    </w:p>
    <w:p w14:paraId="7BB86549">
      <w:pPr>
        <w:pStyle w:val="3"/>
        <w:spacing w:before="22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00000" w:themeColor="text1"/>
          <w:sz w:val="24"/>
          <w:szCs w:val="24"/>
          <w14:textFill>
            <w14:solidFill>
              <w14:schemeClr w14:val="tx1"/>
            </w14:solidFill>
          </w14:textFill>
        </w:rPr>
        <w:t>2.1 Quality Findings</w:t>
      </w:r>
    </w:p>
    <w:p w14:paraId="3F48B875">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Missing values: reminder_channel 1,366 (27.3%), distance_to_clinic_km 90 (1.8%), waiting_time_minutes 60 (1.2%).</w:t>
      </w:r>
    </w:p>
    <w:p w14:paraId="5398E621">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No duplicate appointment IDs and no full-row duplicates.</w:t>
      </w:r>
    </w:p>
    <w:p w14:paraId="0FD65F5A">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Data types align with the Data Dictionary.</w:t>
      </w:r>
    </w:p>
    <w:p w14:paraId="4C9CBC88">
      <w:pPr>
        <w:pStyle w:val="3"/>
        <w:spacing w:before="22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00000" w:themeColor="text1"/>
          <w:sz w:val="24"/>
          <w:szCs w:val="24"/>
          <w14:textFill>
            <w14:solidFill>
              <w14:schemeClr w14:val="tx1"/>
            </w14:solidFill>
          </w14:textFill>
        </w:rPr>
        <w:t>2.2 Cleaning Actions</w:t>
      </w:r>
    </w:p>
    <w:p w14:paraId="5DF3CEE4">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reminder_channel missing values labelled as “None”.</w:t>
      </w:r>
    </w:p>
    <w:p w14:paraId="364638E7">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Numeric missing values (distance, waiting time) filled with the median.</w:t>
      </w:r>
    </w:p>
    <w:p w14:paraId="770D74EB">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Derived fields added: is_noshow, is_attended, lead_bin, distance_bin.</w:t>
      </w:r>
    </w:p>
    <w:p w14:paraId="558997C9">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These steps make the dataset analysis-ready while preserving full transparency about what was changed.</w:t>
      </w:r>
    </w:p>
    <w:p w14:paraId="29695FF3">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3. Exploratory Data Analysis – Key Findings</w:t>
      </w:r>
    </w:p>
    <w:p w14:paraId="670C09DF">
      <w:pPr>
        <w:spacing w:after="160" w:line="36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Overall outcome mix: No-Show 48.46%, Attended 46.28%, Cancelled 5.26%.</w:t>
      </w:r>
    </w:p>
    <w:p w14:paraId="684C333D">
      <w:pPr>
        <w:spacing w:after="160" w:line="360" w:lineRule="auto"/>
        <w:jc w:val="both"/>
        <w:rPr>
          <w:rFonts w:hint="default"/>
        </w:rPr>
      </w:pPr>
      <w:r>
        <w:rPr>
          <w:rFonts w:hint="default" w:ascii="Times New Roman" w:hAnsi="Times New Roman" w:eastAsia="Arial" w:cs="Times New Roman"/>
          <w:b/>
          <w:bCs/>
          <w:color w:val="000000" w:themeColor="text1"/>
          <w:sz w:val="24"/>
          <w:szCs w:val="24"/>
          <w14:textFill>
            <w14:solidFill>
              <w14:schemeClr w14:val="tx1"/>
            </w14:solidFill>
          </w14:textFill>
        </w:rPr>
        <w:t>3.1 Booking Lead Time (Strongest Pattern)</w:t>
      </w:r>
    </w:p>
    <w:p w14:paraId="6044B8DC">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No-show rate rises steadily with longer booking windows:</w:t>
      </w:r>
    </w:p>
    <w:p w14:paraId="27E93183">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0–7 days: 27.8%</w:t>
      </w:r>
    </w:p>
    <w:p w14:paraId="2248AFC9">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8–14 days: 33.6%</w:t>
      </w:r>
    </w:p>
    <w:p w14:paraId="5BB66A7E">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15–30 days: 43.2%</w:t>
      </w:r>
    </w:p>
    <w:p w14:paraId="62305F62">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31–45 days: 53.8%</w:t>
      </w:r>
    </w:p>
    <w:p w14:paraId="6E884BA9">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46–60 days: 67.7%</w:t>
      </w:r>
    </w:p>
    <w:p w14:paraId="53ED737F">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This is the clearest and most actionable pattern in the dataset. Very early booking is strongly associated with higher risk of non-attendance.</w:t>
      </w:r>
    </w:p>
    <w:p w14:paraId="318A3ACC">
      <w:pPr>
        <w:pStyle w:val="3"/>
        <w:spacing w:before="220" w:after="12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00000" w:themeColor="text1"/>
          <w:sz w:val="24"/>
          <w:szCs w:val="24"/>
          <w14:textFill>
            <w14:solidFill>
              <w14:schemeClr w14:val="tx1"/>
            </w14:solidFill>
          </w14:textFill>
        </w:rPr>
        <w:t>3.2 Previous No-Show History</w:t>
      </w:r>
    </w:p>
    <w:p w14:paraId="7F6FDD37">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Behavioural history is a strong signal:</w:t>
      </w:r>
    </w:p>
    <w:p w14:paraId="633700DC">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0 previous no-shows: 43.5% current no-show rate</w:t>
      </w:r>
    </w:p>
    <w:p w14:paraId="0A7F0ED4">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1 previous: 53.5%</w:t>
      </w:r>
    </w:p>
    <w:p w14:paraId="21C7498F">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2 or more previous: 61.0%</w:t>
      </w:r>
    </w:p>
    <w:p w14:paraId="5872DD2C">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Patients who have already missed appointments form a distinct high-risk group.</w:t>
      </w:r>
    </w:p>
    <w:p w14:paraId="13D91CD0">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3.3 Reminders and Channels</w:t>
      </w:r>
    </w:p>
    <w:p w14:paraId="06426745">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Any reminder reduces the no-show rate from 51.4% to 47.4%. SMS currently shows the lowest observed no-show rate among the channels present in the data. The high volume of missing channel information (27%) limits deeper channel analysis.</w:t>
      </w:r>
    </w:p>
    <w:p w14:paraId="275601C8">
      <w:pPr>
        <w:pStyle w:val="3"/>
        <w:spacing w:before="220"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Arial" w:cs="Times New Roman"/>
          <w:b/>
          <w:bCs/>
          <w:color w:val="000000" w:themeColor="text1"/>
          <w:sz w:val="24"/>
          <w:szCs w:val="24"/>
          <w14:textFill>
            <w14:solidFill>
              <w14:schemeClr w14:val="tx1"/>
            </w14:solidFill>
          </w14:textFill>
        </w:rPr>
        <w:t>3.4 Other Notable Patterns</w:t>
      </w:r>
    </w:p>
    <w:p w14:paraId="6AA8F55C">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Follow-up appointments have the highest no-show rate (51.2%) among appointment types.</w:t>
      </w:r>
    </w:p>
    <w:p w14:paraId="4C683EB4">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Sundays show a modestly elevated no-show rate.</w:t>
      </w:r>
    </w:p>
    <w:p w14:paraId="4C78C84C">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Distance to clinic has a mild positive association with no-shows.</w:t>
      </w:r>
    </w:p>
    <w:p w14:paraId="75B94AD0">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4. KPI Framework</w:t>
      </w:r>
    </w:p>
    <w:p w14:paraId="63F981B1">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Five KPIs were selected for clarity, calculability and direct relevance to operations:</w:t>
      </w:r>
    </w:p>
    <w:p w14:paraId="2929B57D">
      <w:pPr>
        <w:spacing w:after="140" w:line="360" w:lineRule="auto"/>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KPI 1 – Overall No-Show Rate: </w:t>
      </w:r>
      <w:r>
        <w:rPr>
          <w:rFonts w:hint="default" w:ascii="Times New Roman" w:hAnsi="Times New Roman" w:eastAsia="Calibri" w:cs="Times New Roman"/>
          <w:sz w:val="24"/>
          <w:szCs w:val="24"/>
        </w:rPr>
        <w:t>48.5%. Primary indicator of the attendance problem.</w:t>
      </w:r>
    </w:p>
    <w:p w14:paraId="3BD802CF">
      <w:pPr>
        <w:spacing w:after="140" w:line="360" w:lineRule="auto"/>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KPI 2 – Attendance Rate: </w:t>
      </w:r>
      <w:r>
        <w:rPr>
          <w:rFonts w:hint="default" w:ascii="Times New Roman" w:hAnsi="Times New Roman" w:eastAsia="Calibri" w:cs="Times New Roman"/>
          <w:sz w:val="24"/>
          <w:szCs w:val="24"/>
        </w:rPr>
        <w:t>46.3%. Measures successful use of booked capacity.</w:t>
      </w:r>
    </w:p>
    <w:p w14:paraId="786B4EA2">
      <w:pPr>
        <w:spacing w:after="140" w:line="360" w:lineRule="auto"/>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KPI 3 – Long-Lead No-Show Rate: </w:t>
      </w:r>
      <w:r>
        <w:rPr>
          <w:rFonts w:hint="default" w:ascii="Times New Roman" w:hAnsi="Times New Roman" w:eastAsia="Calibri" w:cs="Times New Roman"/>
          <w:sz w:val="24"/>
          <w:szCs w:val="24"/>
        </w:rPr>
        <w:t>67.7%. Highlights the risk introduced by very early booking.</w:t>
      </w:r>
    </w:p>
    <w:p w14:paraId="2695A18B">
      <w:pPr>
        <w:spacing w:after="140" w:line="360" w:lineRule="auto"/>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KPI 4 – Reminder Effectiveness Gap: </w:t>
      </w:r>
      <w:r>
        <w:rPr>
          <w:rFonts w:hint="default" w:ascii="Times New Roman" w:hAnsi="Times New Roman" w:eastAsia="Calibri" w:cs="Times New Roman"/>
          <w:sz w:val="24"/>
          <w:szCs w:val="24"/>
        </w:rPr>
        <w:t>approximately 4 percentage points. Shows the current lift delivered by reminders.</w:t>
      </w:r>
    </w:p>
    <w:p w14:paraId="7A926A14">
      <w:pPr>
        <w:spacing w:after="140" w:line="360" w:lineRule="auto"/>
        <w:jc w:val="both"/>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KPI 5 – High-Risk Patient No-Show Rate: </w:t>
      </w:r>
      <w:r>
        <w:rPr>
          <w:rFonts w:hint="default" w:ascii="Times New Roman" w:hAnsi="Times New Roman" w:eastAsia="Calibri" w:cs="Times New Roman"/>
          <w:sz w:val="24"/>
          <w:szCs w:val="24"/>
        </w:rPr>
        <w:t>61.0% (patients with ≥2 previous no-shows). Identifies the segment that needs priority attention.</w:t>
      </w:r>
    </w:p>
    <w:p w14:paraId="11D7DB1F">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These KPIs are simple enough to be shared across tracks and still powerful enough to guide decisions.</w:t>
      </w:r>
    </w:p>
    <w:p w14:paraId="2E2402BA">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5. Business Insights &amp; Implications</w:t>
      </w:r>
    </w:p>
    <w:p w14:paraId="1326E73B">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1. Nearly half of all booked appointments are lost. This is not a marginal issue; it is a core operational problem that affects capacity, revenue and patient continuity.</w:t>
      </w:r>
    </w:p>
    <w:p w14:paraId="74624ECE">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2. Booking lead time is the single strongest pattern. Operational policy around maximum booking windows for non-urgent appointments is the highest-leverage area identified.</w:t>
      </w:r>
    </w:p>
    <w:p w14:paraId="06F31F4C">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3. Past behaviour predicts future behaviour. A simple high-risk flag based on previous no-show count can help teams prioritise outreach without needing a complex model.</w:t>
      </w:r>
    </w:p>
    <w:p w14:paraId="00CB9933">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4. Reminders already help, but the improvement is modest. Increasing coverage and optimising channel choice (especially SMS) can still yield gains.</w:t>
      </w:r>
    </w:p>
    <w:p w14:paraId="4C92BB14">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5. Follow-up appointments and Sunday slots show elevated risk and may benefit from tailored reminder timing or confirmation processes.</w:t>
      </w:r>
    </w:p>
    <w:p w14:paraId="06289FF5">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6. The five KPIs provide a common language that Project Management, Data Science and operations can all use.</w:t>
      </w:r>
    </w:p>
    <w:p w14:paraId="2345D0A9">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6. Recommendations</w:t>
      </w:r>
    </w:p>
    <w:p w14:paraId="7606EBF2">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Review maximum booking windows for non-urgent and follow-up appointments.</w:t>
      </w:r>
    </w:p>
    <w:p w14:paraId="56BA585E">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Introduce a simple high-risk patient flag (previous_no_shows ≥ 2) for prioritised contact.</w:t>
      </w:r>
    </w:p>
    <w:p w14:paraId="7B382E0C">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Maintain SMS as the primary reminder channel and test WhatsApp for younger cohorts.</w:t>
      </w:r>
    </w:p>
    <w:p w14:paraId="0FF7E650">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Share the five KPIs with other tracks so measurement stays consistent.</w:t>
      </w:r>
    </w:p>
    <w:p w14:paraId="4A646F7E">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Monitor Sunday appointments more closely and test earlier reminders for weekend slots.</w:t>
      </w:r>
    </w:p>
    <w:p w14:paraId="283FD2A0">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In Week 6, support Data Science by supplying the prioritised feature list emerging from this analysis.</w:t>
      </w:r>
    </w:p>
    <w:p w14:paraId="39594B4C">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7. Cross-Track Collaboration</w:t>
      </w:r>
    </w:p>
    <w:p w14:paraId="1DA6BA70">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The five KPI definitions and the lead-time finding were shared with the Data Science track to help prioritise features for any future predictive work. The same KPI list was provided to the Project Management track so that progress can be measured against a common set of metrics.</w:t>
      </w:r>
    </w:p>
    <w:p w14:paraId="258F879A">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8. Assumptions, Limitations &amp; Risks (Updated)</w:t>
      </w:r>
    </w:p>
    <w:p w14:paraId="7F688CD7">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Still relevant: data is fictional/anonymised; causal claims cannot be made from observational patterns alone.</w:t>
      </w:r>
    </w:p>
    <w:p w14:paraId="7D0637AD">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Resolved: missing values in distance and waiting time have been handled and documented.</w:t>
      </w:r>
    </w:p>
    <w:p w14:paraId="6419A87B">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New limitation: 27% missing reminder_channel values restrict deeper channel analysis.</w:t>
      </w:r>
    </w:p>
    <w:p w14:paraId="507CD01C">
      <w:pPr>
        <w:spacing w:after="80" w:line="360" w:lineRule="auto"/>
        <w:ind w:left="360"/>
        <w:jc w:val="both"/>
        <w:rPr>
          <w:rFonts w:hint="default" w:ascii="Times New Roman" w:hAnsi="Times New Roman" w:cs="Times New Roman"/>
          <w:sz w:val="24"/>
          <w:szCs w:val="24"/>
        </w:rPr>
      </w:pPr>
      <w:r>
        <w:rPr>
          <w:rFonts w:hint="default" w:ascii="Times New Roman" w:hAnsi="Times New Roman" w:eastAsia="Calibri" w:cs="Times New Roman"/>
          <w:sz w:val="24"/>
          <w:szCs w:val="24"/>
        </w:rPr>
        <w:t>•  Dependency: further modelling work relies on the Data Science track using the cleaned data and agreed KPIs.</w:t>
      </w:r>
    </w:p>
    <w:p w14:paraId="276A84FC">
      <w:pPr>
        <w:pStyle w:val="2"/>
        <w:spacing w:before="280" w:after="160" w:line="360" w:lineRule="auto"/>
        <w:jc w:val="both"/>
        <w:rPr>
          <w:rFonts w:hint="default" w:ascii="Times New Roman" w:hAnsi="Times New Roman" w:cs="Times New Roman"/>
          <w:sz w:val="24"/>
          <w:szCs w:val="24"/>
        </w:rPr>
      </w:pPr>
      <w:r>
        <w:rPr>
          <w:rFonts w:hint="default" w:ascii="Times New Roman" w:hAnsi="Times New Roman" w:eastAsia="Arial" w:cs="Times New Roman"/>
          <w:b/>
          <w:bCs/>
          <w:color w:val="0B1F3A"/>
          <w:sz w:val="24"/>
          <w:szCs w:val="24"/>
        </w:rPr>
        <w:t>9. Week 5 Project Summary</w:t>
      </w:r>
    </w:p>
    <w:p w14:paraId="608ABE4C">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Planned: data preparation, EDA, KPI calculation, dashboard, insights and recommendations.</w:t>
      </w:r>
    </w:p>
    <w:p w14:paraId="2678D55F">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Completed: all of the above, plus an analytical PowerPoint deck and Power BI design specification.</w:t>
      </w:r>
    </w:p>
    <w:p w14:paraId="32E87250">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Key analytical outcomes: 48.5% overall no-show rate; lead time and previous no-show history identified as the strongest patterns; five practical KPIs defined and calculated.</w:t>
      </w:r>
    </w:p>
    <w:p w14:paraId="6406F616">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Challenges: high missingness in reminder_channel; keeping the scope strictly within Data Analytics.</w:t>
      </w:r>
    </w:p>
    <w:p w14:paraId="0DA97319">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Decisions: median imputation for numeric gaps, explicit “None” label for missing channels, selection of five simple but high-value KPIs.</w:t>
      </w:r>
    </w:p>
    <w:p w14:paraId="2AD78700">
      <w:pPr>
        <w:spacing w:after="1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Cross-track work: KPI definitions and lead-time insight shared with Data Science and Project Management.</w:t>
      </w:r>
    </w:p>
    <w:p w14:paraId="272B495F">
      <w:pPr>
        <w:spacing w:after="160" w:line="360" w:lineRule="auto"/>
        <w:jc w:val="both"/>
      </w:pPr>
      <w:r>
        <w:rPr>
          <w:rFonts w:hint="default" w:ascii="Times New Roman" w:hAnsi="Times New Roman" w:eastAsia="Calibri" w:cs="Times New Roman"/>
          <w:sz w:val="24"/>
          <w:szCs w:val="24"/>
        </w:rPr>
        <w:t>Week 6 focus: refine interactive visuals, deepen channel analysis where possible, and support Data Science with the feature priorities identified this week.</w:t>
      </w:r>
    </w:p>
    <w:sectPr>
      <w:footerReference r:id="rId3" w:type="default"/>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5A6C1">
    <w:pPr>
      <w:jc w:val="cen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documentProtection w:enforcement="0"/>
  <w:compat>
    <w:compatSetting w:name="compatibilityMode" w:uri="http://schemas.microsoft.com/office/word" w:val="15"/>
  </w:compat>
  <w:rsids>
    <w:rsidRoot w:val="00000000"/>
    <w:rsid w:val="40985BA7"/>
    <w:rsid w:val="5F526A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2026-09-05T12:54:00Z</dcterms:created>
  <dc:creator>Un-named</dc:creator>
  <cp:lastModifiedBy>USER</cp:lastModifiedBy>
  <dcterms:modified xsi:type="dcterms:W3CDTF">2026-09-05T20:50:54Z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D4BA3143EBF14A6691AE1A0140FA2786_12</vt:lpwstr>
  </property>
</Properties>
</file>