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D9488"/>
          <w:sz w:val="14"/>
          <w:szCs w:val="14"/>
        </w:rPr>
        <w:t xml:space="preserve">HEALTHCONNECT EXPERIENCE LAB</w:t>
      </w:r>
    </w:p>
    <w:p>
      <w:pPr>
        <w:spacing w:after="60"/>
      </w:pPr>
      <w:r>
        <w:rPr>
          <w:rFonts w:ascii="Arial" w:cs="Arial" w:eastAsia="Arial" w:hAnsi="Arial"/>
          <w:b/>
          <w:bCs/>
          <w:color w:val="0B1F3A"/>
          <w:sz w:val="24"/>
          <w:szCs w:val="24"/>
        </w:rPr>
        <w:t xml:space="preserve">Executive Summary — Final Analytics &amp; Decision Support</w:t>
      </w:r>
    </w:p>
    <w:p>
      <w:pPr>
        <w:spacing w:after="180"/>
      </w:pPr>
      <w:r>
        <w:rPr>
          <w:rFonts w:ascii="Calibri" w:cs="Calibri" w:eastAsia="Calibri" w:hAnsi="Calibri"/>
          <w:color w:val="64748B"/>
          <w:sz w:val="16"/>
          <w:szCs w:val="16"/>
        </w:rPr>
        <w:t xml:space="preserve">Data Analytics Track  |  Week 8 Final Package  |  AnalystLab Africa</w:t>
      </w:r>
    </w:p>
    <w:p>
      <w:pPr>
        <w:pStyle w:val="Heading1"/>
        <w:spacing w:after="100" w:before="220"/>
      </w:pPr>
      <w:r>
        <w:rPr>
          <w:rFonts w:ascii="Arial" w:cs="Arial" w:eastAsia="Arial" w:hAnsi="Arial"/>
          <w:b/>
          <w:bCs/>
          <w:color w:val="0B1F3A"/>
          <w:sz w:val="26"/>
          <w:szCs w:val="26"/>
        </w:rPr>
        <w:t xml:space="preserve">The Problem</w:t>
      </w:r>
    </w:p>
    <w:p>
      <w:pPr>
        <w:spacing w:after="120"/>
      </w:pPr>
      <w:r>
        <w:rPr>
          <w:rFonts w:ascii="Calibri" w:cs="Calibri" w:eastAsia="Calibri" w:hAnsi="Calibri"/>
          <w:sz w:val="21"/>
          <w:szCs w:val="21"/>
        </w:rPr>
        <w:t xml:space="preserve">HealthConnect Clinic faces a 48.5% no-show rate across 5,000 appointments. Missed appointments waste clinical capacity, delay care, and weaken the patient support experience. The clinic needs a data-driven way to identify where intervention will matter most.</w:t>
      </w:r>
    </w:p>
    <w:p>
      <w:pPr>
        <w:pStyle w:val="Heading1"/>
        <w:spacing w:after="100" w:before="220"/>
      </w:pPr>
      <w:r>
        <w:rPr>
          <w:rFonts w:ascii="Arial" w:cs="Arial" w:eastAsia="Arial" w:hAnsi="Arial"/>
          <w:b/>
          <w:bCs/>
          <w:color w:val="0B1F3A"/>
          <w:sz w:val="26"/>
          <w:szCs w:val="26"/>
        </w:rPr>
        <w:t xml:space="preserve">What the Data Revealed</w:t>
      </w:r>
    </w:p>
    <w:p>
      <w:pPr>
        <w:spacing w:after="120"/>
      </w:pPr>
      <w:r>
        <w:rPr>
          <w:rFonts w:ascii="Calibri" w:cs="Calibri" w:eastAsia="Calibri" w:hAnsi="Calibri"/>
          <w:sz w:val="21"/>
          <w:szCs w:val="21"/>
        </w:rPr>
        <w:t xml:space="preserve">A single, clearly defined segment drives disproportionate risk:</w:t>
      </w:r>
    </w:p>
    <w:p>
      <w:pPr>
        <w:spacing w:after="100"/>
      </w:pPr>
      <w:r>
        <w:rPr>
          <w:rFonts w:ascii="Calibri" w:cs="Calibri" w:eastAsia="Calibri" w:hAnsi="Calibri"/>
          <w:b/>
          <w:bCs/>
          <w:sz w:val="21"/>
          <w:szCs w:val="21"/>
        </w:rPr>
        <w:t xml:space="preserve">High-Risk Combo: </w:t>
      </w:r>
      <w:r>
        <w:rPr>
          <w:rFonts w:ascii="Calibri" w:cs="Calibri" w:eastAsia="Calibri" w:hAnsi="Calibri"/>
          <w:sz w:val="21"/>
          <w:szCs w:val="21"/>
        </w:rPr>
        <w:t xml:space="preserve">Booking lead time &gt; 45 days AND any previous no-show.</w:t>
      </w:r>
    </w:p>
    <w:p>
      <w:pPr>
        <w:spacing w:after="55"/>
        <w:ind w:left="360"/>
      </w:pPr>
      <w:r>
        <w:rPr>
          <w:rFonts w:ascii="Calibri" w:cs="Calibri" w:eastAsia="Calibri" w:hAnsi="Calibri"/>
          <w:sz w:val="20"/>
          <w:szCs w:val="20"/>
        </w:rPr>
        <w:t xml:space="preserve">•  No-show rate: 75.8% (n = 499)</w:t>
      </w:r>
    </w:p>
    <w:p>
      <w:pPr>
        <w:spacing w:after="55"/>
        <w:ind w:left="360"/>
      </w:pPr>
      <w:r>
        <w:rPr>
          <w:rFonts w:ascii="Calibri" w:cs="Calibri" w:eastAsia="Calibri" w:hAnsi="Calibri"/>
          <w:sz w:val="20"/>
          <w:szCs w:val="20"/>
        </w:rPr>
        <w:t xml:space="preserve">•  Share of clinic appointments: 10%</w:t>
      </w:r>
    </w:p>
    <w:p>
      <w:pPr>
        <w:spacing w:after="55"/>
        <w:ind w:left="360"/>
      </w:pPr>
      <w:r>
        <w:rPr>
          <w:rFonts w:ascii="Calibri" w:cs="Calibri" w:eastAsia="Calibri" w:hAnsi="Calibri"/>
          <w:sz w:val="20"/>
          <w:szCs w:val="20"/>
        </w:rPr>
        <w:t xml:space="preserve">•  Share of all no-shows: 15.6%</w:t>
      </w:r>
    </w:p>
    <w:p>
      <w:pPr>
        <w:spacing w:after="55"/>
        <w:ind w:left="360"/>
      </w:pPr>
      <w:r>
        <w:rPr>
          <w:rFonts w:ascii="Calibri" w:cs="Calibri" w:eastAsia="Calibri" w:hAnsi="Calibri"/>
          <w:sz w:val="20"/>
          <w:szCs w:val="20"/>
        </w:rPr>
        <w:t xml:space="preserve">•  Lift vs overall rate: 1.56×</w:t>
      </w:r>
    </w:p>
    <w:p>
      <w:pPr>
        <w:spacing w:after="120"/>
      </w:pPr>
      <w:r>
        <w:rPr>
          <w:rFonts w:ascii="Calibri" w:cs="Calibri" w:eastAsia="Calibri" w:hAnsi="Calibri"/>
          <w:sz w:val="21"/>
          <w:szCs w:val="21"/>
        </w:rPr>
        <w:t xml:space="preserve">If every no-show in this segment were prevented, the clinic-wide rate would fall from 48.5% to 45.4% (−3.0 percentage points). That is the measurable upper bound of perfect intervention on this group.</w:t>
      </w:r>
    </w:p>
    <w:p>
      <w:pPr>
        <w:pStyle w:val="Heading1"/>
        <w:spacing w:after="100" w:before="220"/>
      </w:pPr>
      <w:r>
        <w:rPr>
          <w:rFonts w:ascii="Arial" w:cs="Arial" w:eastAsia="Arial" w:hAnsi="Arial"/>
          <w:b/>
          <w:bCs/>
          <w:color w:val="0B1F3A"/>
          <w:sz w:val="26"/>
          <w:szCs w:val="26"/>
        </w:rPr>
        <w:t xml:space="preserve">How We Know It Is Reliable</w:t>
      </w:r>
    </w:p>
    <w:p>
      <w:pPr>
        <w:spacing w:after="55"/>
        <w:ind w:left="360"/>
      </w:pPr>
      <w:r>
        <w:rPr>
          <w:rFonts w:ascii="Calibri" w:cs="Calibri" w:eastAsia="Calibri" w:hAnsi="Calibri"/>
          <w:sz w:val="20"/>
          <w:szCs w:val="20"/>
        </w:rPr>
        <w:t xml:space="preserve">•  All core KPIs recalculate exactly from the source data.</w:t>
      </w:r>
    </w:p>
    <w:p>
      <w:pPr>
        <w:spacing w:after="55"/>
        <w:ind w:left="360"/>
      </w:pPr>
      <w:r>
        <w:rPr>
          <w:rFonts w:ascii="Calibri" w:cs="Calibri" w:eastAsia="Calibri" w:hAnsi="Calibri"/>
          <w:sz w:val="20"/>
          <w:szCs w:val="20"/>
        </w:rPr>
        <w:t xml:space="preserve">•  Split-half stability: difference of only 3.3 pp (pass threshold &lt; 5 pp).</w:t>
      </w:r>
    </w:p>
    <w:p>
      <w:pPr>
        <w:spacing w:after="55"/>
        <w:ind w:left="360"/>
      </w:pPr>
      <w:r>
        <w:rPr>
          <w:rFonts w:ascii="Calibri" w:cs="Calibri" w:eastAsia="Calibri" w:hAnsi="Calibri"/>
          <w:sz w:val="20"/>
          <w:szCs w:val="20"/>
        </w:rPr>
        <w:t xml:space="preserve">•  Threshold sensitivity confirmed 45 days as a balanced cutoff.</w:t>
      </w:r>
    </w:p>
    <w:p>
      <w:pPr>
        <w:spacing w:after="55"/>
        <w:ind w:left="360"/>
      </w:pPr>
      <w:r>
        <w:rPr>
          <w:rFonts w:ascii="Calibri" w:cs="Calibri" w:eastAsia="Calibri" w:hAnsi="Calibri"/>
          <w:sz w:val="20"/>
          <w:szCs w:val="20"/>
        </w:rPr>
        <w:t xml:space="preserve">•  Risk remains elevated across appointment types inside the segment.</w:t>
      </w:r>
    </w:p>
    <w:p>
      <w:pPr>
        <w:spacing w:after="55"/>
        <w:ind w:left="360"/>
      </w:pPr>
      <w:r>
        <w:rPr>
          <w:rFonts w:ascii="Calibri" w:cs="Calibri" w:eastAsia="Calibri" w:hAnsi="Calibri"/>
          <w:sz w:val="20"/>
          <w:szCs w:val="20"/>
        </w:rPr>
        <w:t xml:space="preserve">•  Reminders still help inside the segment (~8.5 pp).</w:t>
      </w:r>
    </w:p>
    <w:p>
      <w:pPr>
        <w:pStyle w:val="Heading1"/>
        <w:spacing w:after="100" w:before="220"/>
      </w:pPr>
      <w:r>
        <w:rPr>
          <w:rFonts w:ascii="Arial" w:cs="Arial" w:eastAsia="Arial" w:hAnsi="Arial"/>
          <w:b/>
          <w:bCs/>
          <w:color w:val="0B1F3A"/>
          <w:sz w:val="26"/>
          <w:szCs w:val="26"/>
        </w:rPr>
        <w:t xml:space="preserve">Business Recommendations</w:t>
      </w:r>
    </w:p>
    <w:p>
      <w:pPr>
        <w:spacing w:after="55"/>
        <w:ind w:left="360"/>
      </w:pPr>
      <w:r>
        <w:rPr>
          <w:rFonts w:ascii="Calibri" w:cs="Calibri" w:eastAsia="Calibri" w:hAnsi="Calibri"/>
          <w:sz w:val="20"/>
          <w:szCs w:val="20"/>
        </w:rPr>
        <w:t xml:space="preserve">•  Adopt the High-Risk Combo as the primary rules-based pilot flag.</w:t>
      </w:r>
    </w:p>
    <w:p>
      <w:pPr>
        <w:spacing w:after="55"/>
        <w:ind w:left="360"/>
      </w:pPr>
      <w:r>
        <w:rPr>
          <w:rFonts w:ascii="Calibri" w:cs="Calibri" w:eastAsia="Calibri" w:hAnsi="Calibri"/>
          <w:sz w:val="20"/>
          <w:szCs w:val="20"/>
        </w:rPr>
        <w:t xml:space="preserve">•  Use −3.0 pp as the realistic upper bound for pilot ROI discussions.</w:t>
      </w:r>
    </w:p>
    <w:p>
      <w:pPr>
        <w:spacing w:after="55"/>
        <w:ind w:left="360"/>
      </w:pPr>
      <w:r>
        <w:rPr>
          <w:rFonts w:ascii="Calibri" w:cs="Calibri" w:eastAsia="Calibri" w:hAnsi="Calibri"/>
          <w:sz w:val="20"/>
          <w:szCs w:val="20"/>
        </w:rPr>
        <w:t xml:space="preserve">•  Align evaluation metrics with Data Science (precision at top-risk group + share of no-shows captured).</w:t>
      </w:r>
    </w:p>
    <w:p>
      <w:pPr>
        <w:spacing w:after="55"/>
        <w:ind w:left="360"/>
      </w:pPr>
      <w:r>
        <w:rPr>
          <w:rFonts w:ascii="Calibri" w:cs="Calibri" w:eastAsia="Calibri" w:hAnsi="Calibri"/>
          <w:sz w:val="20"/>
          <w:szCs w:val="20"/>
        </w:rPr>
        <w:t xml:space="preserve">•  Intensify reminders inside the High-Risk segment.</w:t>
      </w:r>
    </w:p>
    <w:p>
      <w:pPr>
        <w:spacing w:after="55"/>
        <w:ind w:left="360"/>
      </w:pPr>
      <w:r>
        <w:rPr>
          <w:rFonts w:ascii="Calibri" w:cs="Calibri" w:eastAsia="Calibri" w:hAnsi="Calibri"/>
          <w:sz w:val="20"/>
          <w:szCs w:val="20"/>
        </w:rPr>
        <w:t xml:space="preserve">•  Protect the best-performing segment (Lead ≤7 &amp; Prev = 0 at 21.8%) as the behavioural benchmark.</w:t>
      </w:r>
    </w:p>
    <w:p>
      <w:pPr>
        <w:pStyle w:val="Heading1"/>
        <w:spacing w:after="100" w:before="220"/>
      </w:pPr>
      <w:r>
        <w:rPr>
          <w:rFonts w:ascii="Arial" w:cs="Arial" w:eastAsia="Arial" w:hAnsi="Arial"/>
          <w:b/>
          <w:bCs/>
          <w:color w:val="0B1F3A"/>
          <w:sz w:val="26"/>
          <w:szCs w:val="26"/>
        </w:rPr>
        <w:t xml:space="preserve">Contribution to the HealthConnect Solution</w:t>
      </w:r>
    </w:p>
    <w:p>
      <w:pPr>
        <w:spacing w:after="120"/>
      </w:pPr>
      <w:r>
        <w:rPr>
          <w:rFonts w:ascii="Calibri" w:cs="Calibri" w:eastAsia="Calibri" w:hAnsi="Calibri"/>
          <w:sz w:val="21"/>
          <w:szCs w:val="21"/>
        </w:rPr>
        <w:t xml:space="preserve">Analytics provides the evidence base for where to act, how large the opportunity is, and how to measure success. Data Science can use the same segment for model evaluation. Project Management can scope a pilot with clear volume, rate, and impact numbers. The AI assistant can later support outreach messaging once operational rules are agreed.</w:t>
      </w:r>
    </w:p>
    <w:p>
      <w:pPr>
        <w:pStyle w:val="Heading1"/>
        <w:spacing w:after="100" w:before="220"/>
      </w:pPr>
      <w:r>
        <w:rPr>
          <w:rFonts w:ascii="Arial" w:cs="Arial" w:eastAsia="Arial" w:hAnsi="Arial"/>
          <w:b/>
          <w:bCs/>
          <w:color w:val="0B1F3A"/>
          <w:sz w:val="26"/>
          <w:szCs w:val="26"/>
        </w:rPr>
        <w:t xml:space="preserve">Limitations</w:t>
      </w:r>
    </w:p>
    <w:p>
      <w:pPr>
        <w:spacing w:after="120"/>
      </w:pPr>
      <w:r>
        <w:rPr>
          <w:rFonts w:ascii="Calibri" w:cs="Calibri" w:eastAsia="Calibri" w:hAnsi="Calibri"/>
          <w:sz w:val="21"/>
          <w:szCs w:val="21"/>
        </w:rPr>
        <w:t xml:space="preserve">Findings are observational. Reminder-channel data is incomplete. Marginal impact is a counterfactual upper bound, not a predicted pilot result. No external time-based validation was available within the Experience Lab dataset.</w:t>
      </w:r>
    </w:p>
    <w:p>
      <w:pPr>
        <w:pStyle w:val="Heading1"/>
        <w:spacing w:after="100" w:before="220"/>
      </w:pPr>
      <w:r>
        <w:rPr>
          <w:rFonts w:ascii="Arial" w:cs="Arial" w:eastAsia="Arial" w:hAnsi="Arial"/>
          <w:b/>
          <w:bCs/>
          <w:color w:val="0B1F3A"/>
          <w:sz w:val="26"/>
          <w:szCs w:val="26"/>
        </w:rPr>
        <w:t xml:space="preserve">Status</w:t>
      </w:r>
    </w:p>
    <w:p>
      <w:pPr>
        <w:spacing w:after="120"/>
      </w:pPr>
      <w:r>
        <w:rPr>
          <w:rFonts w:ascii="Calibri" w:cs="Calibri" w:eastAsia="Calibri" w:hAnsi="Calibri"/>
          <w:sz w:val="21"/>
          <w:szCs w:val="21"/>
        </w:rPr>
        <w:t xml:space="preserve">Final Decision-Support Package is complete, tested, and ready for integration and presentation.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2026-09-26T15:22:44.999Z</dcterms:created>
  <dcterms:modified xsi:type="dcterms:W3CDTF">2026-09-26T15:22:44.999Z</dcterms:modified>
</cp:coreProperties>
</file>

<file path=docProps/custom.xml><?xml version="1.0" encoding="utf-8"?>
<Properties xmlns="http://schemas.openxmlformats.org/officeDocument/2006/custom-properties" xmlns:vt="http://schemas.openxmlformats.org/officeDocument/2006/docPropsVTypes"/>
</file>