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891AB">
      <w:pPr>
        <w:spacing w:after="40"/>
        <w:ind w:firstLine="1321" w:firstLineChars="5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</w:rPr>
        <w:t xml:space="preserve">Week 8  Final Analytics, Dashboard </w:t>
      </w: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  <w:lang w:val="en-US"/>
        </w:rPr>
        <w:t>And</w:t>
      </w: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</w:rPr>
        <w:t xml:space="preserve"> Business Insights</w:t>
      </w:r>
    </w:p>
    <w:p w14:paraId="63544526">
      <w:pPr>
        <w:pStyle w:val="2"/>
        <w:spacing w:before="220"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</w:rPr>
        <w:t>1. Final Integration Readiness</w:t>
      </w:r>
    </w:p>
    <w:p w14:paraId="289C63C0">
      <w:pPr>
        <w:spacing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 xml:space="preserve">Final component: </w:t>
      </w:r>
      <w:r>
        <w:rPr>
          <w:rFonts w:hint="default" w:ascii="Times New Roman" w:hAnsi="Times New Roman" w:eastAsia="Calibri" w:cs="Times New Roman"/>
          <w:sz w:val="24"/>
          <w:szCs w:val="24"/>
        </w:rPr>
        <w:t>Decision-Support Analytics Package</w:t>
      </w:r>
      <w:r>
        <w:rPr>
          <w:rFonts w:hint="default" w:ascii="Times New Roman" w:hAnsi="Times New Roman" w:eastAsia="Calibri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sz w:val="24"/>
          <w:szCs w:val="24"/>
        </w:rPr>
        <w:t>validated KPIs, High-Risk Combo flag, leverage and marginal-impact metrics, final dashboard, business recommendations.</w:t>
      </w:r>
    </w:p>
    <w:p w14:paraId="668979FB">
      <w:pPr>
        <w:spacing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 xml:space="preserve">Problem addressed: </w:t>
      </w:r>
      <w:r>
        <w:rPr>
          <w:rFonts w:hint="default" w:ascii="Times New Roman" w:hAnsi="Times New Roman" w:eastAsia="Calibri" w:cs="Times New Roman"/>
          <w:sz w:val="24"/>
          <w:szCs w:val="24"/>
        </w:rPr>
        <w:t>48.5% no-show rate and inefficient use of appointment slots.</w:t>
      </w:r>
    </w:p>
    <w:p w14:paraId="75668875">
      <w:pPr>
        <w:spacing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 xml:space="preserve">Status: </w:t>
      </w:r>
      <w:r>
        <w:rPr>
          <w:rFonts w:hint="default" w:ascii="Times New Roman" w:hAnsi="Times New Roman" w:eastAsia="Calibri" w:cs="Times New Roman"/>
          <w:sz w:val="24"/>
          <w:szCs w:val="24"/>
        </w:rPr>
        <w:t>Complete, tested in Week 7, refined, and ready for final integration.</w:t>
      </w:r>
    </w:p>
    <w:p w14:paraId="1605219F">
      <w:pPr>
        <w:spacing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 xml:space="preserve">Week 7 improvements: </w:t>
      </w:r>
      <w:r>
        <w:rPr>
          <w:rFonts w:hint="default" w:ascii="Times New Roman" w:hAnsi="Times New Roman" w:eastAsia="Calibri" w:cs="Times New Roman"/>
          <w:sz w:val="24"/>
          <w:szCs w:val="24"/>
        </w:rPr>
        <w:t>Leverage quantification (15.6% of no-shows), marginal impact (−3.0 pp), threshold sensitivity, stability evidence, formal Data Science validation.</w:t>
      </w:r>
    </w:p>
    <w:p w14:paraId="480B04FB">
      <w:pPr>
        <w:spacing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 xml:space="preserve">Depends on: </w:t>
      </w:r>
      <w:r>
        <w:rPr>
          <w:rFonts w:hint="default" w:ascii="Times New Roman" w:hAnsi="Times New Roman" w:eastAsia="Calibri" w:cs="Times New Roman"/>
          <w:sz w:val="24"/>
          <w:szCs w:val="24"/>
        </w:rPr>
        <w:t>Data Science (evaluation alignment); Project Management (pilot framing and presentation).</w:t>
      </w:r>
    </w:p>
    <w:p w14:paraId="3B1EBB5D">
      <w:pPr>
        <w:spacing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 xml:space="preserve">Others depend on me: </w:t>
      </w:r>
      <w:r>
        <w:rPr>
          <w:rFonts w:hint="default" w:ascii="Times New Roman" w:hAnsi="Times New Roman" w:eastAsia="Calibri" w:cs="Times New Roman"/>
          <w:sz w:val="24"/>
          <w:szCs w:val="24"/>
        </w:rPr>
        <w:t>Data Science (segment definition); Project Management (insights and recommendations).</w:t>
      </w:r>
    </w:p>
    <w:p w14:paraId="2F7FE41C">
      <w:pPr>
        <w:spacing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 xml:space="preserve">Evidence of readiness: </w:t>
      </w:r>
      <w:r>
        <w:rPr>
          <w:rFonts w:hint="default" w:ascii="Times New Roman" w:hAnsi="Times New Roman" w:eastAsia="Calibri" w:cs="Times New Roman"/>
          <w:sz w:val="24"/>
          <w:szCs w:val="24"/>
        </w:rPr>
        <w:t>13 formal tests (all PASS), exact KPI match, documented leverage and impact, updated cross-track hand-off.</w:t>
      </w:r>
    </w:p>
    <w:p w14:paraId="1B8E23F2">
      <w:pPr>
        <w:spacing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 xml:space="preserve">Remaining limitations: </w:t>
      </w:r>
      <w:r>
        <w:rPr>
          <w:rFonts w:hint="default" w:ascii="Times New Roman" w:hAnsi="Times New Roman" w:eastAsia="Calibri" w:cs="Times New Roman"/>
          <w:sz w:val="24"/>
          <w:szCs w:val="24"/>
        </w:rPr>
        <w:t>Observational data; reminder missingness; no external temporal validation; marginal impact is an upper bound.</w:t>
      </w:r>
    </w:p>
    <w:p w14:paraId="345C5C4A">
      <w:pPr>
        <w:pStyle w:val="2"/>
        <w:spacing w:before="220"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</w:rPr>
        <w:t>2. Final KPIs</w:t>
      </w:r>
    </w:p>
    <w:p w14:paraId="17556C7B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Overall No-Show Rate: 48.5%</w:t>
      </w:r>
    </w:p>
    <w:p w14:paraId="606021D2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Attendance Rate: 46.3%</w:t>
      </w:r>
    </w:p>
    <w:p w14:paraId="61B2BD2C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High-Risk Combo Rate: 75.8% (n=499, 10% of volume)</w:t>
      </w:r>
    </w:p>
    <w:p w14:paraId="0E46BCD1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Share of All No-Shows captured by Combo: 15.6%</w:t>
      </w:r>
    </w:p>
    <w:p w14:paraId="3D9F2CD1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Lift vs overall: 1.56×</w:t>
      </w:r>
    </w:p>
    <w:p w14:paraId="4EB03B39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Marginal impact if Combo no-shows fully prevented: −3.0 pp (48.5% → 45.4%)</w:t>
      </w:r>
    </w:p>
    <w:p w14:paraId="29BB5AF3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Split-half stability (High-Risk): Δ 3.3 pp — PASS</w:t>
      </w:r>
    </w:p>
    <w:p w14:paraId="3496EA51">
      <w:pPr>
        <w:pStyle w:val="2"/>
        <w:spacing w:before="220"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</w:rPr>
        <w:t>3. Validated Key Findings</w:t>
      </w:r>
    </w:p>
    <w:p w14:paraId="0E60D03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Finding 1  Concentration: The High-Risk Combo is both high-rate and material. Ten percent of appointments generate 15.6% of all no-shows.</w:t>
      </w:r>
    </w:p>
    <w:p w14:paraId="0104E0CE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Finding 2 Stability: Rates hold under split-half testing. The pattern is not an artefact of one data slice.</w:t>
      </w:r>
    </w:p>
    <w:p w14:paraId="48DDC175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Finding 3 Threshold: Sensitivity analysis across 30–55 day cutoffs supports 45 days as a balanced operational choice.</w:t>
      </w:r>
    </w:p>
    <w:p w14:paraId="285C0280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Finding 4  Actionability: Perfect intervention on this single segment has a clear upper-bound clinic-wide effect (−3.0 pp).</w:t>
      </w:r>
    </w:p>
    <w:p w14:paraId="4356F6C5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Finding 5 Benchmark: Short-lead + zero prior no-show appointments achieve 21.8% no-show rate and should be protected.</w:t>
      </w:r>
    </w:p>
    <w:p w14:paraId="12AEC52B">
      <w:pPr>
        <w:pStyle w:val="2"/>
        <w:spacing w:before="220"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</w:rPr>
        <w:t>4. Business Insights</w:t>
      </w:r>
      <w:bookmarkStart w:id="0" w:name="_GoBack"/>
      <w:bookmarkEnd w:id="0"/>
    </w:p>
    <w:p w14:paraId="127AA36E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Health</w:t>
      </w:r>
      <w:r>
        <w:rPr>
          <w:rFonts w:hint="default" w:ascii="Times New Roman" w:hAnsi="Times New Roman" w:eastAsia="Calibri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eastAsia="Calibri" w:cs="Times New Roman"/>
          <w:sz w:val="24"/>
          <w:szCs w:val="24"/>
        </w:rPr>
        <w:t>Connect does not need to treat every appointment the same. A small, well-defined segment carries a large share of the no-show problem. Targeting that segment first maximise the chance of measurable improvement while keeping operational effort focused.</w:t>
      </w:r>
    </w:p>
    <w:p w14:paraId="10D0D65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The analytics package converts a descriptive risk finding into decision inputs: who to prioritise, how large the group is, how much of the problem it represents, and what the theoretical maximum impact of success looks like.</w:t>
      </w:r>
    </w:p>
    <w:p w14:paraId="0FD0E479">
      <w:pPr>
        <w:pStyle w:val="2"/>
        <w:spacing w:before="220" w:after="1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</w:rPr>
        <w:t>5. Final Recommendation</w:t>
      </w: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  <w:lang w:val="en-US"/>
        </w:rPr>
        <w:t>s</w:t>
      </w:r>
    </w:p>
    <w:p w14:paraId="2A50D8EE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Adopt High-Risk Combo as the primary rules-based pilot flag.</w:t>
      </w:r>
    </w:p>
    <w:p w14:paraId="781E7F73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Use −3.0 pp as the upper-bound impact figure in pilot ROI discussions.</w:t>
      </w:r>
    </w:p>
    <w:p w14:paraId="76F18395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Agree evaluation metrics with Data Science (precision at top-risk group + share of no-shows captured).</w:t>
      </w:r>
    </w:p>
    <w:p w14:paraId="2D9F42C8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Intensify reminders inside the High-Risk segment.</w:t>
      </w:r>
    </w:p>
    <w:p w14:paraId="7CB0A01C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Protect the best segment (Lead ≤7 &amp; Prev=0) as the behavioural benchmark.</w:t>
      </w:r>
    </w:p>
    <w:p w14:paraId="7683AB11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Do not over-claim overall reminder-channel impact given data limits.</w:t>
      </w:r>
    </w:p>
    <w:p w14:paraId="73BEB28D">
      <w:pPr>
        <w:pStyle w:val="2"/>
        <w:spacing w:before="220"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</w:rPr>
        <w:t>6. Cross-Track Contribution</w:t>
      </w:r>
    </w:p>
    <w:p w14:paraId="4998AB3A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Data Analytics → Data Science: Provided tested segment definition, rate, volume, leverage, stability, and marginal impact so model evaluation and rules-based design share the same target.</w:t>
      </w:r>
    </w:p>
    <w:p w14:paraId="7F96630F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Data Analytics → Project Management: Provided business insights, recommendations, and impact numbers for pilot scoping and final presentation.</w:t>
      </w:r>
    </w:p>
    <w:p w14:paraId="10176AF6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What changed: The segment moved from a Week 6 descriptive label to a Week 8 pilot-ready and evaluation-ready decision input used by multiple tracks.</w:t>
      </w:r>
    </w:p>
    <w:p w14:paraId="5C5A4012">
      <w:pPr>
        <w:pStyle w:val="2"/>
        <w:spacing w:before="220"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</w:rPr>
        <w:t>7. Analytical Limitations</w:t>
      </w:r>
    </w:p>
    <w:p w14:paraId="34AD722C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Observational data no causal claims.</w:t>
      </w:r>
    </w:p>
    <w:p w14:paraId="53B94361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Reminder-channel missingness (~27%).</w:t>
      </w:r>
    </w:p>
    <w:p w14:paraId="117D6148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Split-half is internal consistency, not external temporal validation.</w:t>
      </w:r>
    </w:p>
    <w:p w14:paraId="28C4E506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Marginal impact is a counterfactual upper bound.</w:t>
      </w:r>
    </w:p>
    <w:p w14:paraId="2542D82D">
      <w:pPr>
        <w:spacing w:after="55"/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•  Analysis uses the approved 5,000-row Health</w:t>
      </w:r>
      <w:r>
        <w:rPr>
          <w:rFonts w:hint="default" w:ascii="Times New Roman" w:hAnsi="Times New Roman" w:eastAsia="Calibri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eastAsia="Calibri" w:cs="Times New Roman"/>
          <w:sz w:val="24"/>
          <w:szCs w:val="24"/>
        </w:rPr>
        <w:t>Connect dataset only.</w:t>
      </w:r>
    </w:p>
    <w:p w14:paraId="586225D9">
      <w:pPr>
        <w:pStyle w:val="2"/>
        <w:spacing w:before="220"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</w:rPr>
        <w:t>8. How This Supports the Overall Solution</w:t>
      </w:r>
    </w:p>
    <w:p w14:paraId="0A9805CF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Analytics answers: Where is the problem concentrated? How large is the opportunity? How should success be measured? Those answers enable Data Science to focus evaluation, ML Engineering to support a usable workflow, Generative AI to support administrative messaging once rules are agreed, and Project Management to coordinate a coherent pilot and presentation.</w:t>
      </w:r>
    </w:p>
    <w:p w14:paraId="6B6C1DD5">
      <w:pPr>
        <w:pStyle w:val="2"/>
        <w:spacing w:before="220" w:after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0B1F3A"/>
          <w:sz w:val="24"/>
          <w:szCs w:val="24"/>
        </w:rPr>
        <w:t>9. Closing</w:t>
      </w:r>
    </w:p>
    <w:p w14:paraId="7271E5C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The final Analytics package is complete. Core findings are tested. Recommendations are decision-ready. Cross-track inputs are documented. The contribution is ready for final integration and professional presentation.</w:t>
      </w:r>
    </w:p>
    <w:sectPr>
      <w:footerReference r:id="rId3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BD120">
    <w:pPr>
      <w:jc w:val="center"/>
    </w:pPr>
    <w:r>
      <w:rPr>
        <w:rFonts w:ascii="Calibri" w:hAnsi="Calibri" w:eastAsia="Calibri" w:cs="Calibri"/>
        <w:color w:val="64748B"/>
        <w:sz w:val="14"/>
        <w:szCs w:val="14"/>
      </w:rPr>
      <w:t xml:space="preserve">Page </w:t>
    </w:r>
    <w:r>
      <w:rPr>
        <w:rFonts w:ascii="Calibri" w:hAnsi="Calibri" w:eastAsia="Calibri" w:cs="Calibri"/>
        <w:color w:val="64748B"/>
        <w:sz w:val="14"/>
        <w:szCs w:val="14"/>
      </w:rPr>
      <w:fldChar w:fldCharType="begin"/>
    </w:r>
    <w:r>
      <w:rPr>
        <w:rFonts w:ascii="Calibri" w:hAnsi="Calibri" w:eastAsia="Calibri" w:cs="Calibri"/>
        <w:color w:val="64748B"/>
        <w:sz w:val="14"/>
        <w:szCs w:val="14"/>
      </w:rPr>
      <w:instrText xml:space="preserve">PAGE</w:instrText>
    </w:r>
    <w:r>
      <w:rPr>
        <w:rFonts w:ascii="Calibri" w:hAnsi="Calibri" w:eastAsia="Calibri" w:cs="Calibri"/>
        <w:color w:val="64748B"/>
        <w:sz w:val="14"/>
        <w:szCs w:val="14"/>
      </w:rPr>
      <w:fldChar w:fldCharType="separate"/>
    </w:r>
    <w:r>
      <w:rPr>
        <w:rFonts w:ascii="Calibri" w:hAnsi="Calibri" w:eastAsia="Calibri" w:cs="Calibri"/>
        <w:color w:val="64748B"/>
        <w:sz w:val="14"/>
        <w:szCs w:val="1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6D721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67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2026-09-26T15:22:00Z</dcterms:created>
  <dc:creator>Un-named</dc:creator>
  <cp:lastModifiedBy>USER</cp:lastModifiedBy>
  <dcterms:modified xsi:type="dcterms:W3CDTF">2026-09-27T09:07:05Z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B46C9631F1FB40608347A5A60A4A20AC_12</vt:lpwstr>
  </property>
</Properties>
</file>