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1F3864"/>
          <w:sz w:val="20"/>
          <w:szCs w:val="20"/>
        </w:rPr>
        <w:t xml:space="preserve">UNIVERSIDAD DEL ZULIA</w:t>
      </w:r>
    </w:p>
    <w:p>
      <w:pPr>
        <w:spacing w:after="0"/>
        <w:jc w:val="center"/>
      </w:pPr>
      <w:r>
        <w:rPr>
          <w:b/>
          <w:bCs/>
          <w:color w:val="1F3864"/>
          <w:sz w:val="18"/>
          <w:szCs w:val="18"/>
        </w:rPr>
        <w:t xml:space="preserve">FACULTAD EXPERIMENTAL DE CIENCIAS</w:t>
      </w:r>
    </w:p>
    <w:p>
      <w:pPr>
        <w:spacing w:after="0"/>
        <w:jc w:val="center"/>
      </w:pPr>
      <w:r>
        <w:rPr>
          <w:color w:val="1F3864"/>
          <w:sz w:val="18"/>
          <w:szCs w:val="18"/>
        </w:rPr>
        <w:t xml:space="preserve">Licenciatura en Computación</w:t>
      </w:r>
    </w:p>
    <w:p>
      <w:pPr>
        <w:pBdr>
          <w:bottom w:val="single" w:color="8496B0" w:sz="6" w:space="4"/>
        </w:pBdr>
        <w:spacing w:after="100"/>
        <w:jc w:val="center"/>
      </w:pPr>
      <w:r>
        <w:rPr>
          <w:i/>
          <w:iCs/>
          <w:color w:val="444444"/>
          <w:sz w:val="16"/>
          <w:szCs w:val="16"/>
        </w:rPr>
        <w:t xml:space="preserve">961616 – PP4: Desarrollo de Sistemas | Prof. Yaskelly Yedra | Período I-2025</w:t>
      </w:r>
    </w:p>
    <w:p>
      <w:pPr>
        <w:spacing w:after="300"/>
      </w:pPr>
    </w:p>
    <w:p>
      <w:pPr>
        <w:spacing w:after="150"/>
        <w:jc w:val="center"/>
      </w:pPr>
      <w:r>
        <w:rPr>
          <w:b/>
          <w:bCs/>
          <w:color w:val="000000"/>
          <w:sz w:val="22"/>
          <w:szCs w:val="22"/>
        </w:rPr>
        <w:t xml:space="preserve">Sistema de Información Geográfico para la Gestión de Zonas de Riesgo del Estado Zulia</w:t>
      </w:r>
    </w:p>
    <w:p>
      <w:pPr>
        <w:spacing w:after="400"/>
        <w:jc w:val="center"/>
      </w:pPr>
      <w:r>
        <w:rPr>
          <w:i/>
          <w:iCs/>
          <w:color w:val="444444"/>
          <w:sz w:val="20"/>
          <w:szCs w:val="20"/>
        </w:rPr>
        <w:t xml:space="preserve">(SIG Gestor de Riesgo)</w:t>
      </w:r>
    </w:p>
    <w:p>
      <w:pPr>
        <w:spacing w:after="100" w:before="200"/>
        <w:jc w:val="center"/>
      </w:pPr>
      <w:r>
        <w:rPr>
          <w:b/>
          <w:bCs/>
          <w:color w:val="1F3864"/>
          <w:sz w:val="32"/>
          <w:szCs w:val="32"/>
        </w:rPr>
        <w:t xml:space="preserve">Plan de Mantenimiento y Validación del Sistema</w:t>
      </w:r>
    </w:p>
    <w:p>
      <w:pPr>
        <w:spacing w:after="400"/>
        <w:jc w:val="center"/>
      </w:pPr>
      <w:r>
        <w:rPr>
          <w:i/>
          <w:iCs/>
          <w:color w:val="444444"/>
          <w:sz w:val="20"/>
          <w:szCs w:val="20"/>
        </w:rPr>
        <w:t xml:space="preserve">Estrategias de mantenimiento y pruebas de calidad</w:t>
      </w:r>
    </w:p>
    <w:p>
      <w:pPr>
        <w:spacing w:after="50"/>
        <w:jc w:val="center"/>
      </w:pPr>
      <w:r>
        <w:rPr>
          <w:sz w:val="20"/>
          <w:szCs w:val="20"/>
        </w:rPr>
        <w:t xml:space="preserve">Estudiante: Jefferson Rubén Rosales Fernández</w:t>
      </w:r>
    </w:p>
    <w:p>
      <w:pPr>
        <w:spacing w:after="50"/>
        <w:jc w:val="center"/>
      </w:pPr>
      <w:r>
        <w:rPr>
          <w:sz w:val="20"/>
          <w:szCs w:val="20"/>
        </w:rPr>
        <w:t xml:space="preserve">Tutor: Ing. Henry Pereira</w:t>
      </w:r>
    </w:p>
    <w:p>
      <w:pPr>
        <w:spacing w:after="400"/>
        <w:jc w:val="center"/>
      </w:pPr>
      <w:r>
        <w:rPr>
          <w:sz w:val="20"/>
          <w:szCs w:val="20"/>
        </w:rPr>
        <w:t xml:space="preserve">Maracaibo, Estado Zulia – 2025</w:t>
      </w:r>
    </w:p>
    <w:p>
      <w:r>
        <w:br w:type="page"/>
      </w:r>
    </w:p>
    <w:p>
      <w:pPr>
        <w:pStyle w:val="Heading1"/>
        <w:pBdr>
          <w:bottom w:val="single" w:color="1F3864" w:sz="6" w:space="2"/>
        </w:pBdr>
        <w:spacing w:after="150" w:before="300"/>
      </w:pPr>
      <w:r>
        <w:rPr>
          <w:b/>
          <w:bCs/>
          <w:color w:val="1F3864"/>
          <w:sz w:val="26"/>
          <w:szCs w:val="26"/>
        </w:rPr>
        <w:t xml:space="preserve">1. Introducción</w:t>
      </w:r>
    </w:p>
    <w:p>
      <w:pPr>
        <w:spacing w:after="150" w:line="276"/>
        <w:jc w:val="both"/>
      </w:pPr>
      <w:r>
        <w:rPr>
          <w:sz w:val="21"/>
          <w:szCs w:val="21"/>
        </w:rPr>
        <w:t xml:space="preserve">El presente documento establece el plan de mantenimiento y el plan de validación del Sistema de Información Geográfico para la Gestión de Zonas de Riesgo del Estado Zulia (SIG Gestor de Riesgo). El plan de mantenimiento define las acciones necesarias para garantizar la continuidad operativa y evolución del sistema una vez puesto en producción, clasificadas según los cuatro tipos reconocidos por la ingeniería de software: correctivo, adaptativo, perfectivo y preventivo. El plan de validación, por su parte, describe las estrategias de prueba aplicadas para asegurar la calidad funcional y no funcional del sistema, así como las pruebas unitarias realizadas sobre sus componentes críticos.</w:t>
      </w:r>
    </w:p>
    <w:p>
      <w:pPr>
        <w:pStyle w:val="Heading1"/>
        <w:pBdr>
          <w:bottom w:val="single" w:color="1F3864" w:sz="6" w:space="2"/>
        </w:pBdr>
        <w:spacing w:after="150" w:before="300"/>
      </w:pPr>
      <w:r>
        <w:rPr>
          <w:b/>
          <w:bCs/>
          <w:color w:val="1F3864"/>
          <w:sz w:val="26"/>
          <w:szCs w:val="26"/>
        </w:rPr>
        <w:t xml:space="preserve">2. Plan de Mantenimiento</w:t>
      </w:r>
    </w:p>
    <w:p>
      <w:pPr>
        <w:pStyle w:val="Heading2"/>
        <w:spacing w:after="120" w:before="250"/>
      </w:pPr>
      <w:r>
        <w:rPr>
          <w:b/>
          <w:bCs/>
          <w:color w:val="1F3864"/>
          <w:sz w:val="22"/>
          <w:szCs w:val="22"/>
        </w:rPr>
        <w:t xml:space="preserve">2.1 Mantenimiento Correctivo</w:t>
      </w:r>
    </w:p>
    <w:p>
      <w:pPr>
        <w:spacing w:after="150" w:line="276"/>
        <w:jc w:val="both"/>
      </w:pPr>
      <w:r>
        <w:rPr>
          <w:sz w:val="21"/>
          <w:szCs w:val="21"/>
        </w:rPr>
        <w:t xml:space="preserve">Comprende las acciones orientadas a corregir errores o defectos detectados durante la operación del sistema.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Área</w:t>
            </w:r>
          </w:p>
        </w:tc>
        <w:tc>
          <w:tcPr>
            <w:tcW w:type="dxa" w:w="6300"/>
            <w:shd w:fill="1F3864" w:val="clear"/>
            <w:tcMar>
              <w:top w:type="dxa" w:w="80"/>
              <w:left w:type="dxa" w:w="100"/>
              <w:bottom w:type="dxa" w:w="80"/>
              <w:right w:type="dxa" w:w="100"/>
            </w:tcMar>
            <w:vAlign w:val="center"/>
          </w:tcPr>
          <w:p>
            <w:pPr>
              <w:jc w:val="center"/>
            </w:pPr>
            <w:r>
              <w:rPr>
                <w:b/>
                <w:bCs/>
                <w:color w:val="FFFFFF"/>
                <w:sz w:val="19"/>
                <w:szCs w:val="19"/>
              </w:rPr>
              <w:t xml:space="preserve">Acciones concretas</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Geometrías PostGIS</w:t>
            </w:r>
          </w:p>
        </w:tc>
        <w:tc>
          <w:tcPr>
            <w:tcW w:type="dxa" w:w="6300"/>
            <w:tcMar>
              <w:top w:type="dxa" w:w="60"/>
              <w:left w:type="dxa" w:w="100"/>
              <w:bottom w:type="dxa" w:w="60"/>
              <w:right w:type="dxa" w:w="100"/>
            </w:tcMar>
            <w:vAlign w:val="center"/>
          </w:tcPr>
          <w:p>
            <w:pPr>
              <w:spacing w:after="0"/>
              <w:jc w:val="left"/>
            </w:pPr>
            <w:r>
              <w:rPr>
                <w:b w:val="false"/>
                <w:bCs w:val="false"/>
                <w:sz w:val="19"/>
                <w:szCs w:val="19"/>
              </w:rPr>
              <w:t xml:space="preserve">Detección y corrección de geometrías inválidas (polígonos auto-intersectados o no cerrados) mediante ST_IsValid y ST_MakeValid</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Geocodificación ArcGIS</w:t>
            </w:r>
          </w:p>
        </w:tc>
        <w:tc>
          <w:tcPr>
            <w:tcW w:type="dxa" w:w="63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Corrección de fallos en la resolución de direcciones o pérdida de conectividad con el servicio ArcGIS World Geocoding API</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Cálculo de similitud Jaccard</w:t>
            </w:r>
          </w:p>
        </w:tc>
        <w:tc>
          <w:tcPr>
            <w:tcW w:type="dxa" w:w="6300"/>
            <w:tcMar>
              <w:top w:type="dxa" w:w="60"/>
              <w:left w:type="dxa" w:w="100"/>
              <w:bottom w:type="dxa" w:w="60"/>
              <w:right w:type="dxa" w:w="100"/>
            </w:tcMar>
            <w:vAlign w:val="center"/>
          </w:tcPr>
          <w:p>
            <w:pPr>
              <w:spacing w:after="0"/>
              <w:jc w:val="left"/>
            </w:pPr>
            <w:r>
              <w:rPr>
                <w:b w:val="false"/>
                <w:bCs w:val="false"/>
                <w:sz w:val="19"/>
                <w:szCs w:val="19"/>
              </w:rPr>
              <w:t xml:space="preserve">Corrección de errores en el algoritmo cuando existan conjuntos de factores vacíos o mal formateados</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Autenticación JWT</w:t>
            </w:r>
          </w:p>
        </w:tc>
        <w:tc>
          <w:tcPr>
            <w:tcW w:type="dxa" w:w="63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Corrección de fallos relacionados con expiración, firma o validación incorrecta de tokens</w:t>
            </w:r>
          </w:p>
        </w:tc>
      </w:tr>
    </w:tbl>
    <w:p>
      <w:pPr>
        <w:pStyle w:val="Heading2"/>
        <w:spacing w:after="120" w:before="250"/>
      </w:pPr>
      <w:r>
        <w:rPr>
          <w:b/>
          <w:bCs/>
          <w:color w:val="1F3864"/>
          <w:sz w:val="22"/>
          <w:szCs w:val="22"/>
        </w:rPr>
        <w:t xml:space="preserve">2.2 Mantenimiento Adaptativo</w:t>
      </w:r>
    </w:p>
    <w:p>
      <w:pPr>
        <w:spacing w:after="150" w:line="276"/>
        <w:jc w:val="both"/>
      </w:pPr>
      <w:r>
        <w:rPr>
          <w:sz w:val="21"/>
          <w:szCs w:val="21"/>
        </w:rPr>
        <w:t xml:space="preserve">Comprende las acciones necesarias para adaptar el sistema a cambios en su entorno tecnológico o normativo.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Área</w:t>
            </w:r>
          </w:p>
        </w:tc>
        <w:tc>
          <w:tcPr>
            <w:tcW w:type="dxa" w:w="6300"/>
            <w:shd w:fill="1F3864" w:val="clear"/>
            <w:tcMar>
              <w:top w:type="dxa" w:w="80"/>
              <w:left w:type="dxa" w:w="100"/>
              <w:bottom w:type="dxa" w:w="80"/>
              <w:right w:type="dxa" w:w="100"/>
            </w:tcMar>
            <w:vAlign w:val="center"/>
          </w:tcPr>
          <w:p>
            <w:pPr>
              <w:jc w:val="center"/>
            </w:pPr>
            <w:r>
              <w:rPr>
                <w:b/>
                <w:bCs/>
                <w:color w:val="FFFFFF"/>
                <w:sz w:val="19"/>
                <w:szCs w:val="19"/>
              </w:rPr>
              <w:t xml:space="preserve">Acciones concretas</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Clave API ArcGIS</w:t>
            </w:r>
          </w:p>
        </w:tc>
        <w:tc>
          <w:tcPr>
            <w:tcW w:type="dxa" w:w="6300"/>
            <w:tcMar>
              <w:top w:type="dxa" w:w="60"/>
              <w:left w:type="dxa" w:w="100"/>
              <w:bottom w:type="dxa" w:w="60"/>
              <w:right w:type="dxa" w:w="100"/>
            </w:tcMar>
            <w:vAlign w:val="center"/>
          </w:tcPr>
          <w:p>
            <w:pPr>
              <w:spacing w:after="0"/>
              <w:jc w:val="left"/>
            </w:pPr>
            <w:r>
              <w:rPr>
                <w:b w:val="false"/>
                <w:bCs w:val="false"/>
                <w:sz w:val="19"/>
                <w:szCs w:val="19"/>
              </w:rPr>
              <w:t xml:space="preserve">Renovación de la clave pública antes de su vencimiento (10/10/2026), incluyendo actualización del scope de dominio si cambia el entorno de despliegue</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Actualización de dependencias base</w:t>
            </w:r>
          </w:p>
        </w:tc>
        <w:tc>
          <w:tcPr>
            <w:tcW w:type="dxa" w:w="63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Actualización periódica de versiones de Node.js y PostgreSQL/PostGIS conforme a nuevas versiones estables</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Normativas de gestión de riesgo</w:t>
            </w:r>
          </w:p>
        </w:tc>
        <w:tc>
          <w:tcPr>
            <w:tcW w:type="dxa" w:w="6300"/>
            <w:tcMar>
              <w:top w:type="dxa" w:w="60"/>
              <w:left w:type="dxa" w:w="100"/>
              <w:bottom w:type="dxa" w:w="60"/>
              <w:right w:type="dxa" w:w="100"/>
            </w:tcMar>
            <w:vAlign w:val="center"/>
          </w:tcPr>
          <w:p>
            <w:pPr>
              <w:spacing w:after="0"/>
              <w:jc w:val="left"/>
            </w:pPr>
            <w:r>
              <w:rPr>
                <w:b w:val="false"/>
                <w:bCs w:val="false"/>
                <w:sz w:val="19"/>
                <w:szCs w:val="19"/>
              </w:rPr>
              <w:t xml:space="preserve">Ajuste del modelo de datos y catálogo de factores ante cambios en normativas nacionales de gestión de riesgo (SINAGERD u organismo equivalente)</w:t>
            </w:r>
          </w:p>
        </w:tc>
      </w:tr>
    </w:tbl>
    <w:p>
      <w:pPr>
        <w:pStyle w:val="Heading2"/>
        <w:spacing w:after="120" w:before="250"/>
      </w:pPr>
      <w:r>
        <w:rPr>
          <w:b/>
          <w:bCs/>
          <w:color w:val="1F3864"/>
          <w:sz w:val="22"/>
          <w:szCs w:val="22"/>
        </w:rPr>
        <w:t xml:space="preserve">2.3 Mantenimiento Perfectivo</w:t>
      </w:r>
    </w:p>
    <w:p>
      <w:pPr>
        <w:spacing w:after="150" w:line="276"/>
        <w:jc w:val="both"/>
      </w:pPr>
      <w:r>
        <w:rPr>
          <w:sz w:val="21"/>
          <w:szCs w:val="21"/>
        </w:rPr>
        <w:t xml:space="preserve">Comprende las acciones orientadas a mejorar el desempeño, la funcionalidad o la experiencia de uso del sistema, sin que exista un error previo.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Área</w:t>
            </w:r>
          </w:p>
        </w:tc>
        <w:tc>
          <w:tcPr>
            <w:tcW w:type="dxa" w:w="6300"/>
            <w:shd w:fill="1F3864" w:val="clear"/>
            <w:tcMar>
              <w:top w:type="dxa" w:w="80"/>
              <w:left w:type="dxa" w:w="100"/>
              <w:bottom w:type="dxa" w:w="80"/>
              <w:right w:type="dxa" w:w="100"/>
            </w:tcMar>
            <w:vAlign w:val="center"/>
          </w:tcPr>
          <w:p>
            <w:pPr>
              <w:jc w:val="center"/>
            </w:pPr>
            <w:r>
              <w:rPr>
                <w:b/>
                <w:bCs/>
                <w:color w:val="FFFFFF"/>
                <w:sz w:val="19"/>
                <w:szCs w:val="19"/>
              </w:rPr>
              <w:t xml:space="preserve">Acciones concretas</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Consultas espaciales</w:t>
            </w:r>
          </w:p>
        </w:tc>
        <w:tc>
          <w:tcPr>
            <w:tcW w:type="dxa" w:w="6300"/>
            <w:tcMar>
              <w:top w:type="dxa" w:w="60"/>
              <w:left w:type="dxa" w:w="100"/>
              <w:bottom w:type="dxa" w:w="60"/>
              <w:right w:type="dxa" w:w="100"/>
            </w:tcMar>
            <w:vAlign w:val="center"/>
          </w:tcPr>
          <w:p>
            <w:pPr>
              <w:spacing w:after="0"/>
              <w:jc w:val="left"/>
            </w:pPr>
            <w:r>
              <w:rPr>
                <w:b w:val="false"/>
                <w:bCs w:val="false"/>
                <w:sz w:val="19"/>
                <w:szCs w:val="19"/>
              </w:rPr>
              <w:t xml:space="preserve">Optimización de consultas ST_Intersects mediante índices espaciales (GiST) para mejorar tiempos de respuesta en mapas con alto volumen de zonas</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Exportación de reportes</w:t>
            </w:r>
          </w:p>
        </w:tc>
        <w:tc>
          <w:tcPr>
            <w:tcW w:type="dxa" w:w="63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Mejora del módulo de exportación a PDF/Word, incorporando nuevos formatos o plantillas</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Filtros del mapa</w:t>
            </w:r>
          </w:p>
        </w:tc>
        <w:tc>
          <w:tcPr>
            <w:tcW w:type="dxa" w:w="6300"/>
            <w:tcMar>
              <w:top w:type="dxa" w:w="60"/>
              <w:left w:type="dxa" w:w="100"/>
              <w:bottom w:type="dxa" w:w="60"/>
              <w:right w:type="dxa" w:w="100"/>
            </w:tcMar>
            <w:vAlign w:val="center"/>
          </w:tcPr>
          <w:p>
            <w:pPr>
              <w:spacing w:after="0"/>
              <w:jc w:val="left"/>
            </w:pPr>
            <w:r>
              <w:rPr>
                <w:b w:val="false"/>
                <w:bCs w:val="false"/>
                <w:sz w:val="19"/>
                <w:szCs w:val="19"/>
              </w:rPr>
              <w:t xml:space="preserve">Incorporación de filtros avanzados por nivel de riesgo, categoría de factor o rango de fechas en la visualización del mapa</w:t>
            </w:r>
          </w:p>
        </w:tc>
      </w:tr>
    </w:tbl>
    <w:p>
      <w:pPr>
        <w:pStyle w:val="Heading2"/>
        <w:spacing w:after="120" w:before="250"/>
      </w:pPr>
      <w:r>
        <w:rPr>
          <w:b/>
          <w:bCs/>
          <w:color w:val="1F3864"/>
          <w:sz w:val="22"/>
          <w:szCs w:val="22"/>
        </w:rPr>
        <w:t xml:space="preserve">2.4 Mantenimiento Preventivo</w:t>
      </w:r>
    </w:p>
    <w:p>
      <w:pPr>
        <w:spacing w:after="150" w:line="276"/>
        <w:jc w:val="both"/>
      </w:pPr>
      <w:r>
        <w:rPr>
          <w:sz w:val="21"/>
          <w:szCs w:val="21"/>
        </w:rPr>
        <w:t xml:space="preserve">Comprende las acciones orientadas a anticipar y prevenir fallos futuros del sistema.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Área</w:t>
            </w:r>
          </w:p>
        </w:tc>
        <w:tc>
          <w:tcPr>
            <w:tcW w:type="dxa" w:w="6300"/>
            <w:shd w:fill="1F3864" w:val="clear"/>
            <w:tcMar>
              <w:top w:type="dxa" w:w="80"/>
              <w:left w:type="dxa" w:w="100"/>
              <w:bottom w:type="dxa" w:w="80"/>
              <w:right w:type="dxa" w:w="100"/>
            </w:tcMar>
            <w:vAlign w:val="center"/>
          </w:tcPr>
          <w:p>
            <w:pPr>
              <w:jc w:val="center"/>
            </w:pPr>
            <w:r>
              <w:rPr>
                <w:b/>
                <w:bCs/>
                <w:color w:val="FFFFFF"/>
                <w:sz w:val="19"/>
                <w:szCs w:val="19"/>
              </w:rPr>
              <w:t xml:space="preserve">Acciones concretas</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Respaldos de base de datos</w:t>
            </w:r>
          </w:p>
        </w:tc>
        <w:tc>
          <w:tcPr>
            <w:tcW w:type="dxa" w:w="6300"/>
            <w:tcMar>
              <w:top w:type="dxa" w:w="60"/>
              <w:left w:type="dxa" w:w="100"/>
              <w:bottom w:type="dxa" w:w="60"/>
              <w:right w:type="dxa" w:w="100"/>
            </w:tcMar>
            <w:vAlign w:val="center"/>
          </w:tcPr>
          <w:p>
            <w:pPr>
              <w:spacing w:after="0"/>
              <w:jc w:val="left"/>
            </w:pPr>
            <w:r>
              <w:rPr>
                <w:b w:val="false"/>
                <w:bCs w:val="false"/>
                <w:sz w:val="19"/>
                <w:szCs w:val="19"/>
              </w:rPr>
              <w:t xml:space="preserve">Ejecución de respaldos periódicos de la base de datos PostGIS, incluyendo verificación de integridad de las copias</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Monitoreo de tokens JWT</w:t>
            </w:r>
          </w:p>
        </w:tc>
        <w:tc>
          <w:tcPr>
            <w:tcW w:type="dxa" w:w="63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Revisión periódica de la vigencia y uso de tokens para detectar accesos anómalos</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Auditoría de dependencias npm</w:t>
            </w:r>
          </w:p>
        </w:tc>
        <w:tc>
          <w:tcPr>
            <w:tcW w:type="dxa" w:w="6300"/>
            <w:tcMar>
              <w:top w:type="dxa" w:w="60"/>
              <w:left w:type="dxa" w:w="100"/>
              <w:bottom w:type="dxa" w:w="60"/>
              <w:right w:type="dxa" w:w="100"/>
            </w:tcMar>
            <w:vAlign w:val="center"/>
          </w:tcPr>
          <w:p>
            <w:pPr>
              <w:spacing w:after="0"/>
              <w:jc w:val="left"/>
            </w:pPr>
            <w:r>
              <w:rPr>
                <w:b w:val="false"/>
                <w:bCs w:val="false"/>
                <w:sz w:val="19"/>
                <w:szCs w:val="19"/>
              </w:rPr>
              <w:t xml:space="preserve">Ejecución periódica de auditorías de seguridad (npm audit) para identificar vulnerabilidades (CVE) en las dependencias del proyecto</w:t>
            </w:r>
          </w:p>
        </w:tc>
      </w:tr>
    </w:tbl>
    <w:p>
      <w:pPr>
        <w:pStyle w:val="Heading1"/>
        <w:pBdr>
          <w:bottom w:val="single" w:color="1F3864" w:sz="6" w:space="2"/>
        </w:pBdr>
        <w:spacing w:after="150" w:before="300"/>
      </w:pPr>
      <w:r>
        <w:rPr>
          <w:b/>
          <w:bCs/>
          <w:color w:val="1F3864"/>
          <w:sz w:val="26"/>
          <w:szCs w:val="26"/>
        </w:rPr>
        <w:t xml:space="preserve">3. Plan de Validación / Pruebas</w:t>
      </w:r>
    </w:p>
    <w:p>
      <w:pPr>
        <w:pStyle w:val="Heading2"/>
        <w:spacing w:after="120" w:before="250"/>
      </w:pPr>
      <w:r>
        <w:rPr>
          <w:b/>
          <w:bCs/>
          <w:color w:val="1F3864"/>
          <w:sz w:val="22"/>
          <w:szCs w:val="22"/>
        </w:rPr>
        <w:t xml:space="preserve">3.1 Pruebas Funcionales (Caja Negra)</w:t>
      </w:r>
    </w:p>
    <w:p>
      <w:pPr>
        <w:spacing w:after="150" w:line="276"/>
        <w:jc w:val="both"/>
      </w:pPr>
      <w:r>
        <w:rPr>
          <w:sz w:val="21"/>
          <w:szCs w:val="21"/>
        </w:rPr>
        <w:t xml:space="preserve">Se enfocan en verificar que el sistema cumpla con los requisitos funcionales especificados, sin considerar la estructura interna del código.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57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Caso de prueba</w:t>
            </w:r>
          </w:p>
        </w:tc>
        <w:tc>
          <w:tcPr>
            <w:tcW w:type="dxa" w:w="5700"/>
            <w:shd w:fill="1F3864" w:val="clear"/>
            <w:tcMar>
              <w:top w:type="dxa" w:w="80"/>
              <w:left w:type="dxa" w:w="100"/>
              <w:bottom w:type="dxa" w:w="80"/>
              <w:right w:type="dxa" w:w="100"/>
            </w:tcMar>
            <w:vAlign w:val="center"/>
          </w:tcPr>
          <w:p>
            <w:pPr>
              <w:jc w:val="center"/>
            </w:pPr>
            <w:r>
              <w:rPr>
                <w:b/>
                <w:bCs/>
                <w:color w:val="FFFFFF"/>
                <w:sz w:val="19"/>
                <w:szCs w:val="19"/>
              </w:rPr>
              <w:t xml:space="preserve">Descripción</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Login por rol</w:t>
            </w:r>
          </w:p>
        </w:tc>
        <w:tc>
          <w:tcPr>
            <w:tcW w:type="dxa" w:w="5700"/>
            <w:tcMar>
              <w:top w:type="dxa" w:w="60"/>
              <w:left w:type="dxa" w:w="100"/>
              <w:bottom w:type="dxa" w:w="60"/>
              <w:right w:type="dxa" w:w="100"/>
            </w:tcMar>
            <w:vAlign w:val="center"/>
          </w:tcPr>
          <w:p>
            <w:pPr>
              <w:spacing w:after="0"/>
              <w:jc w:val="left"/>
            </w:pPr>
            <w:r>
              <w:rPr>
                <w:b w:val="false"/>
                <w:bCs w:val="false"/>
                <w:sz w:val="19"/>
                <w:szCs w:val="19"/>
              </w:rPr>
              <w:t xml:space="preserve">Verificar que cada sufijo de usuario (-Con, -An, -Admin) otorgue acceso al panel correspondiente a su rol</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CRUD de zonas de riesgo</w:t>
            </w:r>
          </w:p>
        </w:tc>
        <w:tc>
          <w:tcPr>
            <w:tcW w:type="dxa" w:w="57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Verificar creación, lectura, actualización y eliminación de zonas de riesgo respetando los permisos por rol</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Asociación de factores</w:t>
            </w:r>
          </w:p>
        </w:tc>
        <w:tc>
          <w:tcPr>
            <w:tcW w:type="dxa" w:w="5700"/>
            <w:tcMar>
              <w:top w:type="dxa" w:w="60"/>
              <w:left w:type="dxa" w:w="100"/>
              <w:bottom w:type="dxa" w:w="60"/>
              <w:right w:type="dxa" w:w="100"/>
            </w:tcMar>
            <w:vAlign w:val="center"/>
          </w:tcPr>
          <w:p>
            <w:pPr>
              <w:spacing w:after="0"/>
              <w:jc w:val="left"/>
            </w:pPr>
            <w:r>
              <w:rPr>
                <w:b w:val="false"/>
                <w:bCs w:val="false"/>
                <w:sz w:val="19"/>
                <w:szCs w:val="19"/>
              </w:rPr>
              <w:t xml:space="preserve">Verificar la correcta asociación de factores a zonas y el registro del valor de incidencia</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Cálculo de similitud Jaccard</w:t>
            </w:r>
          </w:p>
        </w:tc>
        <w:tc>
          <w:tcPr>
            <w:tcW w:type="dxa" w:w="57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Verificar que el índice calculado corresponda a los factores comunes reales entre dos zonas</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Geocodificación</w:t>
            </w:r>
          </w:p>
        </w:tc>
        <w:tc>
          <w:tcPr>
            <w:tcW w:type="dxa" w:w="5700"/>
            <w:tcMar>
              <w:top w:type="dxa" w:w="60"/>
              <w:left w:type="dxa" w:w="100"/>
              <w:bottom w:type="dxa" w:w="60"/>
              <w:right w:type="dxa" w:w="100"/>
            </w:tcMar>
            <w:vAlign w:val="center"/>
          </w:tcPr>
          <w:p>
            <w:pPr>
              <w:spacing w:after="0"/>
              <w:jc w:val="left"/>
            </w:pPr>
            <w:r>
              <w:rPr>
                <w:b w:val="false"/>
                <w:bCs w:val="false"/>
                <w:sz w:val="19"/>
                <w:szCs w:val="19"/>
              </w:rPr>
              <w:t xml:space="preserve">Verificar que direcciones válidas retornen coordenadas correctas y que direcciones inválidas se manejen sin fallo del sistema</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Recuperación de contraseña</w:t>
            </w:r>
          </w:p>
        </w:tc>
        <w:tc>
          <w:tcPr>
            <w:tcW w:type="dxa" w:w="57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Verificar el envío del código, su vigencia de 30 minutos y el bloqueo de códigos expirados</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Delegación administrativa</w:t>
            </w:r>
          </w:p>
        </w:tc>
        <w:tc>
          <w:tcPr>
            <w:tcW w:type="dxa" w:w="5700"/>
            <w:tcMar>
              <w:top w:type="dxa" w:w="60"/>
              <w:left w:type="dxa" w:w="100"/>
              <w:bottom w:type="dxa" w:w="60"/>
              <w:right w:type="dxa" w:w="100"/>
            </w:tcMar>
            <w:vAlign w:val="center"/>
          </w:tcPr>
          <w:p>
            <w:pPr>
              <w:spacing w:after="0"/>
              <w:jc w:val="left"/>
            </w:pPr>
            <w:r>
              <w:rPr>
                <w:b w:val="false"/>
                <w:bCs w:val="false"/>
                <w:sz w:val="19"/>
                <w:szCs w:val="19"/>
              </w:rPr>
              <w:t xml:space="preserve">Verificar la correcta activación y desactivación de delegaciones entre administradores</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Reportes exportables</w:t>
            </w:r>
          </w:p>
        </w:tc>
        <w:tc>
          <w:tcPr>
            <w:tcW w:type="dxa" w:w="57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Verificar la correcta generación de reportes en formato JSON, PDF y Word</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Control de rutas JWT</w:t>
            </w:r>
          </w:p>
        </w:tc>
        <w:tc>
          <w:tcPr>
            <w:tcW w:type="dxa" w:w="5700"/>
            <w:tcMar>
              <w:top w:type="dxa" w:w="60"/>
              <w:left w:type="dxa" w:w="100"/>
              <w:bottom w:type="dxa" w:w="60"/>
              <w:right w:type="dxa" w:w="100"/>
            </w:tcMar>
            <w:vAlign w:val="center"/>
          </w:tcPr>
          <w:p>
            <w:pPr>
              <w:spacing w:after="0"/>
              <w:jc w:val="left"/>
            </w:pPr>
            <w:r>
              <w:rPr>
                <w:b w:val="false"/>
                <w:bCs w:val="false"/>
                <w:sz w:val="19"/>
                <w:szCs w:val="19"/>
              </w:rPr>
              <w:t xml:space="preserve">Verificar que las rutas protegidas rechacen solicitudes sin token válido</w:t>
            </w:r>
          </w:p>
        </w:tc>
      </w:tr>
    </w:tbl>
    <w:p>
      <w:pPr>
        <w:pStyle w:val="Heading2"/>
        <w:spacing w:after="120" w:before="250"/>
      </w:pPr>
      <w:r>
        <w:rPr>
          <w:b/>
          <w:bCs/>
          <w:color w:val="1F3864"/>
          <w:sz w:val="22"/>
          <w:szCs w:val="22"/>
        </w:rPr>
        <w:t xml:space="preserve">3.2 Pruebas No Funcionales</w:t>
      </w:r>
    </w:p>
    <w:p>
      <w:pPr>
        <w:spacing w:after="150" w:line="276"/>
        <w:jc w:val="both"/>
      </w:pPr>
      <w:r>
        <w:rPr>
          <w:sz w:val="21"/>
          <w:szCs w:val="21"/>
        </w:rPr>
        <w:t xml:space="preserve">Se enfocan en evaluar atributos de calidad del sistema relacionados con el desempeño, la seguridad y la disponibilidad.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57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Aspecto evaluado</w:t>
            </w:r>
          </w:p>
        </w:tc>
        <w:tc>
          <w:tcPr>
            <w:tcW w:type="dxa" w:w="5700"/>
            <w:shd w:fill="1F3864" w:val="clear"/>
            <w:tcMar>
              <w:top w:type="dxa" w:w="80"/>
              <w:left w:type="dxa" w:w="100"/>
              <w:bottom w:type="dxa" w:w="80"/>
              <w:right w:type="dxa" w:w="100"/>
            </w:tcMar>
            <w:vAlign w:val="center"/>
          </w:tcPr>
          <w:p>
            <w:pPr>
              <w:jc w:val="center"/>
            </w:pPr>
            <w:r>
              <w:rPr>
                <w:b/>
                <w:bCs/>
                <w:color w:val="FFFFFF"/>
                <w:sz w:val="19"/>
                <w:szCs w:val="19"/>
              </w:rPr>
              <w:t xml:space="preserve">Criterio de aceptación</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Tiempo de respuesta de la API</w:t>
            </w:r>
          </w:p>
        </w:tc>
        <w:tc>
          <w:tcPr>
            <w:tcW w:type="dxa" w:w="5700"/>
            <w:tcMar>
              <w:top w:type="dxa" w:w="60"/>
              <w:left w:type="dxa" w:w="100"/>
              <w:bottom w:type="dxa" w:w="60"/>
              <w:right w:type="dxa" w:w="100"/>
            </w:tcMar>
            <w:vAlign w:val="center"/>
          </w:tcPr>
          <w:p>
            <w:pPr>
              <w:spacing w:after="0"/>
              <w:jc w:val="left"/>
            </w:pPr>
            <w:r>
              <w:rPr>
                <w:b w:val="false"/>
                <w:bCs w:val="false"/>
                <w:sz w:val="19"/>
                <w:szCs w:val="19"/>
              </w:rPr>
              <w:t xml:space="preserve">Menor a 2 segundos por solicitud en condiciones normales de operación</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Carga del mapa ArcGIS</w:t>
            </w:r>
          </w:p>
        </w:tc>
        <w:tc>
          <w:tcPr>
            <w:tcW w:type="dxa" w:w="57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Renderizado inicial del mapa en menos de 3 segundos</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Sesiones simultáneas</w:t>
            </w:r>
          </w:p>
        </w:tc>
        <w:tc>
          <w:tcPr>
            <w:tcW w:type="dxa" w:w="5700"/>
            <w:tcMar>
              <w:top w:type="dxa" w:w="60"/>
              <w:left w:type="dxa" w:w="100"/>
              <w:bottom w:type="dxa" w:w="60"/>
              <w:right w:type="dxa" w:w="100"/>
            </w:tcMar>
            <w:vAlign w:val="center"/>
          </w:tcPr>
          <w:p>
            <w:pPr>
              <w:spacing w:after="0"/>
              <w:jc w:val="left"/>
            </w:pPr>
            <w:r>
              <w:rPr>
                <w:b w:val="false"/>
                <w:bCs w:val="false"/>
                <w:sz w:val="19"/>
                <w:szCs w:val="19"/>
              </w:rPr>
              <w:t xml:space="preserve">El sistema debe soportar múltiples sesiones activas sin degradación perceptible</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Índice espacial PostGIS</w:t>
            </w:r>
          </w:p>
        </w:tc>
        <w:tc>
          <w:tcPr>
            <w:tcW w:type="dxa" w:w="57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Las consultas espaciales deben apoyarse en índices GiST para mantener el rendimiento con el crecimiento de datos</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Expiración de tokens</w:t>
            </w:r>
          </w:p>
        </w:tc>
        <w:tc>
          <w:tcPr>
            <w:tcW w:type="dxa" w:w="5700"/>
            <w:tcMar>
              <w:top w:type="dxa" w:w="60"/>
              <w:left w:type="dxa" w:w="100"/>
              <w:bottom w:type="dxa" w:w="60"/>
              <w:right w:type="dxa" w:w="100"/>
            </w:tcMar>
            <w:vAlign w:val="center"/>
          </w:tcPr>
          <w:p>
            <w:pPr>
              <w:spacing w:after="0"/>
              <w:jc w:val="left"/>
            </w:pPr>
            <w:r>
              <w:rPr>
                <w:b w:val="false"/>
                <w:bCs w:val="false"/>
                <w:sz w:val="19"/>
                <w:szCs w:val="19"/>
              </w:rPr>
              <w:t xml:space="preserve">Los tokens JWT caducados deben retornar código de estado HTTP 401</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Verificación de contraseñas</w:t>
            </w:r>
          </w:p>
        </w:tc>
        <w:tc>
          <w:tcPr>
            <w:tcW w:type="dxa" w:w="57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El proceso de verificación mediante bcrypt debe completarse de forma correcta y consistente en cada intento</w:t>
            </w:r>
          </w:p>
        </w:tc>
      </w:tr>
    </w:tbl>
    <w:p>
      <w:pPr>
        <w:pStyle w:val="Heading2"/>
        <w:spacing w:after="120" w:before="250"/>
      </w:pPr>
      <w:r>
        <w:rPr>
          <w:b/>
          <w:bCs/>
          <w:color w:val="1F3864"/>
          <w:sz w:val="22"/>
          <w:szCs w:val="22"/>
        </w:rPr>
        <w:t xml:space="preserve">3.3 Pruebas Unitarias (asistidas con GitHub Copilot)</w:t>
      </w:r>
    </w:p>
    <w:p>
      <w:pPr>
        <w:spacing w:after="150" w:line="276"/>
        <w:jc w:val="both"/>
      </w:pPr>
      <w:r>
        <w:rPr>
          <w:sz w:val="21"/>
          <w:szCs w:val="21"/>
        </w:rPr>
        <w:t xml:space="preserve">Se enfocan en verificar el correcto funcionamiento de componentes individuales del sistema de forma aislada.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57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Componente</w:t>
            </w:r>
          </w:p>
        </w:tc>
        <w:tc>
          <w:tcPr>
            <w:tcW w:type="dxa" w:w="5700"/>
            <w:shd w:fill="1F3864" w:val="clear"/>
            <w:tcMar>
              <w:top w:type="dxa" w:w="80"/>
              <w:left w:type="dxa" w:w="100"/>
              <w:bottom w:type="dxa" w:w="80"/>
              <w:right w:type="dxa" w:w="100"/>
            </w:tcMar>
            <w:vAlign w:val="center"/>
          </w:tcPr>
          <w:p>
            <w:pPr>
              <w:jc w:val="center"/>
            </w:pPr>
            <w:r>
              <w:rPr>
                <w:b/>
                <w:bCs/>
                <w:color w:val="FFFFFF"/>
                <w:sz w:val="19"/>
                <w:szCs w:val="19"/>
              </w:rPr>
              <w:t xml:space="preserve">Enfoque de la prueba</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Módulo de autenticación</w:t>
            </w:r>
          </w:p>
        </w:tc>
        <w:tc>
          <w:tcPr>
            <w:tcW w:type="dxa" w:w="5700"/>
            <w:tcMar>
              <w:top w:type="dxa" w:w="60"/>
              <w:left w:type="dxa" w:w="100"/>
              <w:bottom w:type="dxa" w:w="60"/>
              <w:right w:type="dxa" w:w="100"/>
            </w:tcMar>
            <w:vAlign w:val="center"/>
          </w:tcPr>
          <w:p>
            <w:pPr>
              <w:spacing w:after="0"/>
              <w:jc w:val="left"/>
            </w:pPr>
            <w:r>
              <w:rPr>
                <w:b w:val="false"/>
                <w:bCs w:val="false"/>
                <w:sz w:val="19"/>
                <w:szCs w:val="19"/>
              </w:rPr>
              <w:t xml:space="preserve">Verificación de generación y validación de tokens JWT, y de la asignación correcta de roles</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Endpoints REST</w:t>
            </w:r>
          </w:p>
        </w:tc>
        <w:tc>
          <w:tcPr>
            <w:tcW w:type="dxa" w:w="57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Verificación de respuestas correctas para cada ruta de la API ante solicitudes válidas e inválidas</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Algoritmo de similitud Jaccard</w:t>
            </w:r>
          </w:p>
        </w:tc>
        <w:tc>
          <w:tcPr>
            <w:tcW w:type="dxa" w:w="5700"/>
            <w:tcMar>
              <w:top w:type="dxa" w:w="60"/>
              <w:left w:type="dxa" w:w="100"/>
              <w:bottom w:type="dxa" w:w="60"/>
              <w:right w:type="dxa" w:w="100"/>
            </w:tcMar>
            <w:vAlign w:val="center"/>
          </w:tcPr>
          <w:p>
            <w:pPr>
              <w:spacing w:after="0"/>
              <w:jc w:val="left"/>
            </w:pPr>
            <w:r>
              <w:rPr>
                <w:b w:val="false"/>
                <w:bCs w:val="false"/>
                <w:sz w:val="19"/>
                <w:szCs w:val="19"/>
              </w:rPr>
              <w:t xml:space="preserve">Verificación del cálculo con conjuntos de factores conocidos y resultados esperados predefinidos</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Envío de correo (Nodemailer)</w:t>
            </w:r>
          </w:p>
        </w:tc>
        <w:tc>
          <w:tcPr>
            <w:tcW w:type="dxa" w:w="57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Verificación del envío correcto de correos de recuperación mediante mocks del servicio SMTP</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Funciones espaciales (ST_Intersects / ST_Contains)</w:t>
            </w:r>
          </w:p>
        </w:tc>
        <w:tc>
          <w:tcPr>
            <w:tcW w:type="dxa" w:w="5700"/>
            <w:tcMar>
              <w:top w:type="dxa" w:w="60"/>
              <w:left w:type="dxa" w:w="100"/>
              <w:bottom w:type="dxa" w:w="60"/>
              <w:right w:type="dxa" w:w="100"/>
            </w:tcMar>
            <w:vAlign w:val="center"/>
          </w:tcPr>
          <w:p>
            <w:pPr>
              <w:spacing w:after="0"/>
              <w:jc w:val="left"/>
            </w:pPr>
            <w:r>
              <w:rPr>
                <w:b w:val="false"/>
                <w:bCs w:val="false"/>
                <w:sz w:val="19"/>
                <w:szCs w:val="19"/>
              </w:rPr>
              <w:t xml:space="preserve">Verificación de resultados esperados ante geometrías de prueba controladas</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Middleware de roles</w:t>
            </w:r>
          </w:p>
        </w:tc>
        <w:tc>
          <w:tcPr>
            <w:tcW w:type="dxa" w:w="57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Verificación de que cada middleware restrinja correctamente el acceso según el rol del usuario autenticado</w:t>
            </w:r>
          </w:p>
        </w:tc>
      </w:tr>
    </w:tbl>
    <w:p>
      <w:pPr>
        <w:pStyle w:val="Heading1"/>
        <w:pBdr>
          <w:bottom w:val="single" w:color="1F3864" w:sz="6" w:space="2"/>
        </w:pBdr>
        <w:spacing w:after="150" w:before="300"/>
      </w:pPr>
      <w:r>
        <w:rPr>
          <w:b/>
          <w:bCs/>
          <w:color w:val="1F3864"/>
          <w:sz w:val="26"/>
          <w:szCs w:val="26"/>
        </w:rPr>
        <w:t xml:space="preserve">4. Conclusión</w:t>
      </w:r>
    </w:p>
    <w:p>
      <w:pPr>
        <w:spacing w:after="150" w:line="276"/>
        <w:jc w:val="both"/>
      </w:pPr>
      <w:r>
        <w:rPr>
          <w:sz w:val="21"/>
          <w:szCs w:val="21"/>
        </w:rPr>
        <w:t xml:space="preserve">El plan de mantenimiento y validación aquí descrito busca asegurar que el SIG Gestor de Riesgo mantenga un funcionamiento correcto, seguro y adaptable a lo largo de su ciclo de vida operativo. La combinación de mantenimiento correctivo, adaptativo, perfectivo y preventivo, junto con una estrategia de pruebas funcionales, no funcionales y unitarias, constituye una base sólida para garantizar la calidad del sistema tanto en su etapa de defensa académica como en un eventual escenario de uso institucional real.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496B0" w:sz="4" w:space="2"/>
      </w:pBdr>
      <w:tabs>
        <w:tab w:val="right" w:pos="9020"/>
      </w:tabs>
    </w:pPr>
    <w:r>
      <w:rPr>
        <w:color w:val="666666"/>
        <w:sz w:val="16"/>
        <w:szCs w:val="16"/>
      </w:rPr>
      <w:t xml:space="preserve">SIG Gestor de Riesgo – Estado Zulia</w:t>
    </w:r>
    <w:r>
      <w:t xml:space="preserve">	</w:t>
    </w:r>
    <w:r>
      <w:rPr>
        <w:i/>
        <w:iCs/>
        <w:color w:val="666666"/>
        <w:sz w:val="16"/>
        <w:szCs w:val="16"/>
      </w:rPr>
      <w:t xml:space="preserve">Plan de Mantenimiento y Validación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2026-07-05T03:29:50.697Z</dcterms:created>
  <dcterms:modified xsi:type="dcterms:W3CDTF">2026-07-05T03:29:50.697Z</dcterms:modified>
</cp:coreProperties>
</file>

<file path=docProps/custom.xml><?xml version="1.0" encoding="utf-8"?>
<Properties xmlns="http://schemas.openxmlformats.org/officeDocument/2006/custom-properties" xmlns:vt="http://schemas.openxmlformats.org/officeDocument/2006/docPropsVTypes"/>
</file>