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CE309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Computer Organization and Architecture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Basic Computer Organization]</w:t>
      </w:r>
    </w:p>
    <w:p>
      <w:pPr>
        <w:spacing w:after="60"/>
        <w:ind w:left="300"/>
      </w:pPr>
      <w:r>
        <w:t xml:space="preserve">(a) </w:t>
      </w:r>
      <w:r>
        <w:t xml:space="preserve">Define computer organization and computer architecture. State one difference.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Von Neumann architecture with a block diagram.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instruction cycle (fetch, decode, execute) with a flowchart, and explain the role of the Program Counter, Instruction Register and Memory Address Register.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CPU &amp; Instruction Cycle]</w:t>
      </w:r>
    </w:p>
    <w:p>
      <w:pPr>
        <w:spacing w:after="60"/>
        <w:ind w:left="300"/>
      </w:pPr>
      <w:r>
        <w:t xml:space="preserve">(a) </w:t>
      </w:r>
      <w:r>
        <w:t xml:space="preserve">Differentiate between RISC and CISC architectures.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any three addressing modes with examples.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different instruction formats (zero-address, one-address, two-address, three-address) with an example of evaluating the expression (A+B)*C in each format.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Memory Hierarchy &amp; Cache]</w:t>
      </w:r>
    </w:p>
    <w:p>
      <w:pPr>
        <w:spacing w:after="60"/>
        <w:ind w:left="300"/>
      </w:pPr>
      <w:r>
        <w:t xml:space="preserve">(a) </w:t>
      </w:r>
      <w:r>
        <w:t xml:space="preserve">Define memory hierarchy. List the levels from fastest to slowest.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Differentiate between direct mapping and associative mapping in cache memory.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set-associative cache mapping with a numerical example (given main memory size, cache size and block size), and calculate the number of sets and lines per set.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I/O Organization]</w:t>
      </w:r>
    </w:p>
    <w:p>
      <w:pPr>
        <w:spacing w:after="60"/>
        <w:ind w:left="300"/>
      </w:pPr>
      <w:r>
        <w:t xml:space="preserve">(a) </w:t>
      </w:r>
      <w:r>
        <w:t xml:space="preserve">Differentiate between programmed I/O and interrupt-driven I/O.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DMA (Direct Memory Access) and its advantage over programmed I/O.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interrupt handling mechanism in a computer system with a flowchart, including vectored interrupts and priority interrupt handling.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Pipelining]</w:t>
      </w:r>
    </w:p>
    <w:p>
      <w:pPr>
        <w:spacing w:after="60"/>
        <w:ind w:left="300"/>
      </w:pPr>
      <w:r>
        <w:t xml:space="preserve">(a) </w:t>
      </w:r>
      <w:r>
        <w:t xml:space="preserve">Define pipelining. State its main advantage.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stages of a 5-stage instruction pipeline (IF, ID, EX, MEM, WB).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structural hazards, data hazards and control hazards in pipelining with an example instruction sequence for each, and describe one technique to resolve each hazard.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2026-08-13T08:57:16.437Z</dcterms:created>
  <dcterms:modified xsi:type="dcterms:W3CDTF">2026-08-13T08:57:16.437Z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