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36"/>
          <w:szCs w:val="36"/>
        </w:rPr>
        <w:t xml:space="preserve">M2 Contribution: Augmentation Ablation Interpretation</w:t>
      </w:r>
    </w:p>
    <w:p>
      <w:pPr>
        <w:pBdr>
          <w:bottom w:val="single" w:color="CCCCCC" w:sz="8" w:space="1"/>
        </w:pBdr>
        <w:spacing w:after="0" w:before="0"/>
      </w:pPr>
      <w:r>
        <w:rPr>
          <w:rFonts w:ascii="Arial" w:cs="Arial" w:eastAsia="Arial" w:hAnsi="Arial"/>
          <w:color w:val="888888"/>
          <w:sz w:val="20"/>
          <w:szCs w:val="20"/>
        </w:rPr>
        <w:t xml:space="preserve">Pension Contribution Default Prediction  ·  CSCD 618 / DSCD 604</w:t>
      </w:r>
    </w:p>
    <w:p>
      <w:pPr>
        <w:spacing w:after="0" w:before="200"/>
      </w:pPr>
      <w:r>
        <w:t xml:space="preserve"/>
      </w:r>
    </w:p>
    <w:p>
      <w:pPr>
        <w:pBdr>
          <w:left w:val="single" w:color="AAAAAA" w:sz="12" w:space="8"/>
        </w:pBdr>
        <w:spacing w:after="160" w:before="0"/>
        <w:ind w:left="240"/>
      </w:pPr>
      <w:r>
        <w:rPr>
          <w:rFonts w:ascii="Arial" w:cs="Arial" w:eastAsia="Arial" w:hAnsi="Arial"/>
          <w:i/>
          <w:iCs/>
          <w:color w:val="555555"/>
          <w:sz w:val="22"/>
          <w:szCs w:val="22"/>
        </w:rPr>
        <w:t xml:space="preserve">This section is authored by Member 2 and documents the interpretation of the augmentation ablation experiment carried out in the modelling stage. M3 established the numerical results (Section 4 of the M3 report); this section explains the mechanism behind those results from the augmentation design perspective, and draws operational implications for deployment.</w:t>
      </w:r>
    </w:p>
    <w:p>
      <w:pPr>
        <w:pBdr>
          <w:bottom w:val="single" w:color="CCCCCC" w:sz="4" w:space="1"/>
        </w:pBdr>
        <w:spacing w:after="140" w:before="140"/>
      </w:pPr>
      <w:r>
        <w:t xml:space="preserve"/>
      </w:r>
    </w:p>
    <w:p>
      <w:pPr>
        <w:spacing w:after="100" w:before="280"/>
      </w:pPr>
      <w:r>
        <w:rPr>
          <w:rFonts w:ascii="Arial" w:cs="Arial" w:eastAsia="Arial" w:hAnsi="Arial"/>
          <w:b/>
          <w:bCs/>
          <w:color w:val="000000"/>
          <w:sz w:val="28"/>
          <w:szCs w:val="28"/>
        </w:rPr>
        <w:t xml:space="preserve">1. What the augmentation pipeline was designed to do</w:t>
      </w:r>
    </w:p>
    <w:p>
      <w:pPr>
        <w:spacing w:after="60" w:before="60"/>
      </w:pPr>
      <w:r>
        <w:rPr>
          <w:rFonts w:ascii="Arial" w:cs="Arial" w:eastAsia="Arial" w:hAnsi="Arial"/>
          <w:color w:val="333333"/>
          <w:sz w:val="22"/>
          <w:szCs w:val="22"/>
        </w:rPr>
        <w:t xml:space="preserve">The augmentation strategy applied in this project was not intended to expand the dataset with new employer records. Its purpose was to introduce controlled perturbation to the continuous features of real training records, preventing TabNet from memorising exact feature values and forcing it to learn more generalised decision boundaries.</w:t>
      </w:r>
    </w:p>
    <w:p>
      <w:pPr>
        <w:spacing w:after="0" w:before="40"/>
      </w:pPr>
      <w:r>
        <w:t xml:space="preserve"/>
      </w:r>
    </w:p>
    <w:p>
      <w:pPr>
        <w:spacing w:after="60" w:before="60"/>
      </w:pPr>
      <w:r>
        <w:rPr>
          <w:rFonts w:ascii="Arial" w:cs="Arial" w:eastAsia="Arial" w:hAnsi="Arial"/>
          <w:color w:val="333333"/>
          <w:sz w:val="22"/>
          <w:szCs w:val="22"/>
        </w:rPr>
        <w:t xml:space="preserve">Gaussian noise (σ = 0.05) was added to eight continuous features within each training fold. SANCTION_SEVERITY was deliberately excluded from noise injection as it is an ordinal feature with only three discrete levels (0 = None, 1 = Demand Notice, 2 = Prosecuted) — adding fractional noise to a categorical encoding would distort its meaning. SMOTE was applied prior to noise injection to address the 75/25 class imbalance between compliant and defaulting employers.</w:t>
      </w:r>
    </w:p>
    <w:p>
      <w:pPr>
        <w:spacing w:after="0" w:before="160"/>
      </w:pPr>
      <w:r>
        <w:t xml:space="preserve"/>
      </w:r>
    </w:p>
    <w:p>
      <w:pPr>
        <w:pBdr>
          <w:bottom w:val="single" w:color="CCCCCC" w:sz="4" w:space="1"/>
        </w:pBdr>
        <w:spacing w:after="140" w:before="140"/>
      </w:pPr>
      <w:r>
        <w:t xml:space="preserve"/>
      </w:r>
    </w:p>
    <w:p>
      <w:pPr>
        <w:spacing w:after="100" w:before="280"/>
      </w:pPr>
      <w:r>
        <w:rPr>
          <w:rFonts w:ascii="Arial" w:cs="Arial" w:eastAsia="Arial" w:hAnsi="Arial"/>
          <w:b/>
          <w:bCs/>
          <w:color w:val="000000"/>
          <w:sz w:val="28"/>
          <w:szCs w:val="28"/>
        </w:rPr>
        <w:t xml:space="preserve">2. Why augmentation shifted the model toward aggressive positive prediction</w:t>
      </w:r>
    </w:p>
    <w:p>
      <w:pPr>
        <w:spacing w:after="60" w:before="60"/>
      </w:pPr>
      <w:r>
        <w:rPr>
          <w:rFonts w:ascii="Arial" w:cs="Arial" w:eastAsia="Arial" w:hAnsi="Arial"/>
          <w:color w:val="333333"/>
          <w:sz w:val="22"/>
          <w:szCs w:val="22"/>
        </w:rPr>
        <w:t xml:space="preserve">The results reveal a specific and instructive interaction between SMOTE and TabNet’s decision surface. The key metrics from M3’s ablation are reproduced below for reference:</w:t>
      </w:r>
    </w:p>
    <w:p>
      <w:pPr>
        <w:spacing w:after="0" w:before="80"/>
      </w:pPr>
      <w:r>
        <w:t xml:space="preserve"/>
      </w:r>
    </w:p>
    <w:p>
      <w:pPr>
        <w:pBdr>
          <w:left w:val="single" w:color="534AB7" w:sz="12" w:space="8"/>
        </w:pBdr>
        <w:spacing w:after="20" w:before="60"/>
        <w:ind w:left="240"/>
      </w:pPr>
      <w:r>
        <w:rPr>
          <w:rFonts w:ascii="Arial" w:cs="Arial" w:eastAsia="Arial" w:hAnsi="Arial"/>
          <w:b/>
          <w:bCs/>
          <w:color w:val="333333"/>
          <w:sz w:val="22"/>
          <w:szCs w:val="22"/>
        </w:rPr>
        <w:t xml:space="preserve">AUC: </w:t>
      </w:r>
      <w:r>
        <w:rPr>
          <w:rFonts w:ascii="Arial" w:cs="Arial" w:eastAsia="Arial" w:hAnsi="Arial"/>
          <w:color w:val="333333"/>
          <w:sz w:val="22"/>
          <w:szCs w:val="22"/>
        </w:rPr>
        <w:t xml:space="preserve">0.998 ± 0.002 (real-only)  vs  0.998 ± 0.001 (augmented) — statistical tie</w:t>
      </w:r>
    </w:p>
    <w:p>
      <w:pPr>
        <w:pBdr>
          <w:left w:val="single" w:color="534AB7" w:sz="12" w:space="8"/>
        </w:pBdr>
        <w:spacing w:after="20" w:before="20"/>
        <w:ind w:left="240"/>
      </w:pPr>
      <w:r>
        <w:rPr>
          <w:rFonts w:ascii="Arial" w:cs="Arial" w:eastAsia="Arial" w:hAnsi="Arial"/>
          <w:b/>
          <w:bCs/>
          <w:color w:val="333333"/>
          <w:sz w:val="22"/>
          <w:szCs w:val="22"/>
        </w:rPr>
        <w:t xml:space="preserve">F1: </w:t>
      </w:r>
      <w:r>
        <w:rPr>
          <w:rFonts w:ascii="Arial" w:cs="Arial" w:eastAsia="Arial" w:hAnsi="Arial"/>
          <w:color w:val="333333"/>
          <w:sz w:val="22"/>
          <w:szCs w:val="22"/>
        </w:rPr>
        <w:t xml:space="preserve">0.969 ± 0.022 (real-only)  vs  0.792 ± 0.106 (augmented) — substantial degradation</w:t>
      </w:r>
    </w:p>
    <w:p>
      <w:pPr>
        <w:pBdr>
          <w:left w:val="single" w:color="534AB7" w:sz="12" w:space="8"/>
        </w:pBdr>
        <w:spacing w:after="20" w:before="20"/>
        <w:ind w:left="240"/>
      </w:pPr>
      <w:r>
        <w:rPr>
          <w:rFonts w:ascii="Arial" w:cs="Arial" w:eastAsia="Arial" w:hAnsi="Arial"/>
          <w:b/>
          <w:bCs/>
          <w:color w:val="333333"/>
          <w:sz w:val="22"/>
          <w:szCs w:val="22"/>
        </w:rPr>
        <w:t xml:space="preserve">Precision: </w:t>
      </w:r>
      <w:r>
        <w:rPr>
          <w:rFonts w:ascii="Arial" w:cs="Arial" w:eastAsia="Arial" w:hAnsi="Arial"/>
          <w:color w:val="333333"/>
          <w:sz w:val="22"/>
          <w:szCs w:val="22"/>
        </w:rPr>
        <w:t xml:space="preserve">0.959 ± 0.037 (real-only)  vs  0.668 ± 0.144 (augmented) — substantial degradation</w:t>
      </w:r>
    </w:p>
    <w:p>
      <w:pPr>
        <w:pBdr>
          <w:left w:val="single" w:color="534AB7" w:sz="12" w:space="8"/>
        </w:pBdr>
        <w:spacing w:after="60" w:before="20"/>
        <w:ind w:left="240"/>
      </w:pPr>
      <w:r>
        <w:rPr>
          <w:rFonts w:ascii="Arial" w:cs="Arial" w:eastAsia="Arial" w:hAnsi="Arial"/>
          <w:b/>
          <w:bCs/>
          <w:color w:val="333333"/>
          <w:sz w:val="22"/>
          <w:szCs w:val="22"/>
        </w:rPr>
        <w:t xml:space="preserve">Recall: </w:t>
      </w:r>
      <w:r>
        <w:rPr>
          <w:rFonts w:ascii="Arial" w:cs="Arial" w:eastAsia="Arial" w:hAnsi="Arial"/>
          <w:color w:val="333333"/>
          <w:sz w:val="22"/>
          <w:szCs w:val="22"/>
        </w:rPr>
        <w:t xml:space="preserve">0.980 ± 0.012 (real-only)  vs  1.000 ± 0.000 (augmented) — perfect, every fold</w:t>
      </w:r>
    </w:p>
    <w:p>
      <w:pPr>
        <w:spacing w:after="0" w:before="80"/>
      </w:pPr>
      <w:r>
        <w:t xml:space="preserve"/>
      </w:r>
    </w:p>
    <w:p>
      <w:pPr>
        <w:spacing w:after="60" w:before="60"/>
      </w:pPr>
      <w:r>
        <w:rPr>
          <w:rFonts w:ascii="Arial" w:cs="Arial" w:eastAsia="Arial" w:hAnsi="Arial"/>
          <w:color w:val="333333"/>
          <w:sz w:val="22"/>
          <w:szCs w:val="22"/>
        </w:rPr>
        <w:t xml:space="preserve">SMOTE operates by interpolating between existing minority-class (defaulting employer) records to generate synthetic positive examples, bringing the class ratio to approximately 50/50 before training. On a dataset where the natural positive rate is 25.3%, this represents a substantial reweighting of the training distribution. TabNet, trained on this rebalanced distribution, learns a decision surface calibrated to a world where defaults are as common as non-defaults. When applied to the real validation distribution — where only 1 in 4 employers actually defaults — the model over-predicts the positive class. This is precisely what the metrics confirm: perfect recall (every actual defaulter is caught) at the cost of precision (many compliant employers are incorrectly flagged as at risk).</w:t>
      </w:r>
    </w:p>
    <w:p>
      <w:pPr>
        <w:spacing w:after="0" w:before="60"/>
      </w:pPr>
      <w:r>
        <w:t xml:space="preserve"/>
      </w:r>
    </w:p>
    <w:p>
      <w:pPr>
        <w:spacing w:after="60" w:before="60"/>
      </w:pPr>
      <w:r>
        <w:rPr>
          <w:rFonts w:ascii="Arial" w:cs="Arial" w:eastAsia="Arial" w:hAnsi="Arial"/>
          <w:b/>
          <w:bCs/>
          <w:color w:val="333333"/>
          <w:sz w:val="22"/>
          <w:szCs w:val="22"/>
        </w:rPr>
        <w:t xml:space="preserve">The Gaussian noise component did not contribute to this shift. </w:t>
      </w:r>
      <w:r>
        <w:rPr>
          <w:rFonts w:ascii="Arial" w:cs="Arial" w:eastAsia="Arial" w:hAnsi="Arial"/>
          <w:color w:val="333333"/>
          <w:sz w:val="22"/>
          <w:szCs w:val="22"/>
        </w:rPr>
        <w:t xml:space="preserve">Noise preserves the relative density of each class — it perturbs feature values but does not change how many positive versus negative examples the model sees. The precision-recall trade-off observed here is attributable specifically to SMOTE’s rebalancing effect, not to the noise regularisation strategy. This distinction is important: the two components of the augmentation pipeline had different effects, and only one of them drove the observed change in behaviour.</w:t>
      </w:r>
    </w:p>
    <w:p>
      <w:pPr>
        <w:spacing w:after="0" w:before="160"/>
      </w:pPr>
      <w:r>
        <w:t xml:space="preserve"/>
      </w:r>
    </w:p>
    <w:p>
      <w:pPr>
        <w:pBdr>
          <w:bottom w:val="single" w:color="CCCCCC" w:sz="4" w:space="1"/>
        </w:pBdr>
        <w:spacing w:after="140" w:before="140"/>
      </w:pPr>
      <w:r>
        <w:t xml:space="preserve"/>
      </w:r>
    </w:p>
    <w:p>
      <w:pPr>
        <w:spacing w:after="100" w:before="280"/>
      </w:pPr>
      <w:r>
        <w:rPr>
          <w:rFonts w:ascii="Arial" w:cs="Arial" w:eastAsia="Arial" w:hAnsi="Arial"/>
          <w:b/>
          <w:bCs/>
          <w:color w:val="000000"/>
          <w:sz w:val="28"/>
          <w:szCs w:val="28"/>
        </w:rPr>
        <w:t xml:space="preserve">3. What this means for the augmentation design</w:t>
      </w:r>
    </w:p>
    <w:p>
      <w:pPr>
        <w:spacing w:after="60" w:before="60"/>
      </w:pPr>
      <w:r>
        <w:rPr>
          <w:rFonts w:ascii="Arial" w:cs="Arial" w:eastAsia="Arial" w:hAnsi="Arial"/>
          <w:color w:val="333333"/>
          <w:sz w:val="22"/>
          <w:szCs w:val="22"/>
        </w:rPr>
        <w:t xml:space="preserve">This finding does not invalidate the augmentation approach — it refines it. SMOTE is most appropriate when the positive class rate is severely imbalanced, typically below 10%. At 25.3%, the class imbalance is moderate and the real-only TabNet already manages it adequately through class weighting. For this dataset, a more conservative oversampling ratio — for example, resampling to 40/60 rather than 50/50 — would likely preserve ranking quality (AUC remains unaffected) while recovering precision at the default threshold.</w:t>
      </w:r>
    </w:p>
    <w:p>
      <w:pPr>
        <w:spacing w:after="0" w:before="60"/>
      </w:pPr>
      <w:r>
        <w:t xml:space="preserve"/>
      </w:r>
    </w:p>
    <w:p>
      <w:pPr>
        <w:spacing w:after="60" w:before="60"/>
      </w:pPr>
      <w:r>
        <w:rPr>
          <w:rFonts w:ascii="Arial" w:cs="Arial" w:eastAsia="Arial" w:hAnsi="Arial"/>
          <w:color w:val="333333"/>
          <w:sz w:val="22"/>
          <w:szCs w:val="22"/>
        </w:rPr>
        <w:t xml:space="preserve">The Gaussian noise component remains valuable as a standalone regularisation strategy independent of SMOTE. The ablation as designed ran both components together, making it impossible to isolate their individual contributions. A follow-up experiment separating the two — noise alone without SMOTE, and SMOTE alone without noise — would produce a cleaner decomposition of effects. This is recommended as a direction for future work, particularly in a deployment context where the class distribution may differ from the training cohort.</w:t>
      </w:r>
    </w:p>
    <w:p>
      <w:pPr>
        <w:spacing w:after="0" w:before="160"/>
      </w:pPr>
      <w:r>
        <w:t xml:space="preserve"/>
      </w:r>
    </w:p>
    <w:p>
      <w:pPr>
        <w:pBdr>
          <w:bottom w:val="single" w:color="CCCCCC" w:sz="4" w:space="1"/>
        </w:pBdr>
        <w:spacing w:after="140" w:before="140"/>
      </w:pPr>
      <w:r>
        <w:t xml:space="preserve"/>
      </w:r>
    </w:p>
    <w:p>
      <w:pPr>
        <w:spacing w:after="100" w:before="280"/>
      </w:pPr>
      <w:r>
        <w:rPr>
          <w:rFonts w:ascii="Arial" w:cs="Arial" w:eastAsia="Arial" w:hAnsi="Arial"/>
          <w:b/>
          <w:bCs/>
          <w:color w:val="000000"/>
          <w:sz w:val="28"/>
          <w:szCs w:val="28"/>
        </w:rPr>
        <w:t xml:space="preserve">4. Operational implication</w:t>
      </w:r>
    </w:p>
    <w:p>
      <w:pPr>
        <w:spacing w:after="60" w:before="60"/>
      </w:pPr>
      <w:r>
        <w:rPr>
          <w:rFonts w:ascii="Arial" w:cs="Arial" w:eastAsia="Arial" w:hAnsi="Arial"/>
          <w:color w:val="333333"/>
          <w:sz w:val="22"/>
          <w:szCs w:val="22"/>
        </w:rPr>
        <w:t xml:space="preserve">In a pension enforcement context, the behaviour of the augmented model has a specific and actionable interpretation. A model with recall = 1.000 and precision = 0.668 means:</w:t>
      </w:r>
    </w:p>
    <w:p>
      <w:pPr>
        <w:spacing w:after="0" w:before="60"/>
      </w:pPr>
      <w:r>
        <w:t xml:space="preserve"/>
      </w:r>
    </w:p>
    <w:p>
      <w:pPr>
        <w:spacing w:after="40" w:before="40"/>
        <w:ind w:left="480"/>
      </w:pPr>
      <w:r>
        <w:rPr>
          <w:rFonts w:ascii="Arial" w:cs="Arial" w:eastAsia="Arial" w:hAnsi="Arial"/>
          <w:color w:val="333333"/>
          <w:sz w:val="22"/>
          <w:szCs w:val="22"/>
        </w:rPr>
        <w:t xml:space="preserve">•  Every genuinely defaulting employer is flagged — no defaults are missed</w:t>
      </w:r>
    </w:p>
    <w:p>
      <w:pPr>
        <w:spacing w:after="40" w:before="40"/>
        <w:ind w:left="480"/>
      </w:pPr>
      <w:r>
        <w:rPr>
          <w:rFonts w:ascii="Arial" w:cs="Arial" w:eastAsia="Arial" w:hAnsi="Arial"/>
          <w:color w:val="333333"/>
          <w:sz w:val="22"/>
          <w:szCs w:val="22"/>
        </w:rPr>
        <w:t xml:space="preserve">•  Approximately 1 in 3 flagged employers is compliant and would receive an unnecessary compliance visit</w:t>
      </w:r>
    </w:p>
    <w:p>
      <w:pPr>
        <w:spacing w:after="0" w:before="60"/>
      </w:pPr>
      <w:r>
        <w:t xml:space="preserve"/>
      </w:r>
    </w:p>
    <w:p>
      <w:pPr>
        <w:spacing w:after="60" w:before="60"/>
      </w:pPr>
      <w:r>
        <w:rPr>
          <w:rFonts w:ascii="Arial" w:cs="Arial" w:eastAsia="Arial" w:hAnsi="Arial"/>
          <w:color w:val="333333"/>
          <w:sz w:val="22"/>
          <w:szCs w:val="22"/>
        </w:rPr>
        <w:t xml:space="preserve">Whether this trade-off is acceptable depends on the relative cost of two types of error: a missed default (lost contributions, eroded fund solvency, deprived workers) versus a false alarm (wasted inspection resource, potential employer friction). In most pension enforcement settings, the cost of a missed default significantly exceeds the cost of an unnecessary visit. Under this cost structure, the augmented model’s behaviour — aggressive but never missing a genuine defaulter — may be preferable for deployment despite its lower precision.</w:t>
      </w:r>
    </w:p>
    <w:p>
      <w:pPr>
        <w:spacing w:after="0" w:before="60"/>
      </w:pPr>
      <w:r>
        <w:t xml:space="preserve"/>
      </w:r>
    </w:p>
    <w:p>
      <w:pPr>
        <w:spacing w:after="60" w:before="60"/>
      </w:pPr>
      <w:r>
        <w:rPr>
          <w:rFonts w:ascii="Arial" w:cs="Arial" w:eastAsia="Arial" w:hAnsi="Arial"/>
          <w:color w:val="333333"/>
          <w:sz w:val="22"/>
          <w:szCs w:val="22"/>
        </w:rPr>
        <w:t xml:space="preserve">If this posture is adopted, the classification threshold should be tuned on validation data to find the operating point that maximises the recall-precision trade-off appropriate to SSNIT’s enforcement capacity. A threshold lower than the default 0.5 would likely achieve the same perfect recall with improved precision, without needing to retrain the model.</w:t>
      </w:r>
    </w:p>
    <w:p>
      <w:pPr>
        <w:spacing w:after="0" w:before="160"/>
      </w:pPr>
      <w:r>
        <w:t xml:space="preserve"/>
      </w:r>
    </w:p>
    <w:p>
      <w:pPr>
        <w:pBdr>
          <w:bottom w:val="single" w:color="CCCCCC" w:sz="4" w:space="1"/>
        </w:pBdr>
        <w:spacing w:after="140" w:before="140"/>
      </w:pPr>
      <w:r>
        <w:t xml:space="preserve"/>
      </w:r>
    </w:p>
    <w:p>
      <w:pPr>
        <w:spacing w:after="100" w:before="280"/>
      </w:pPr>
      <w:r>
        <w:rPr>
          <w:rFonts w:ascii="Arial" w:cs="Arial" w:eastAsia="Arial" w:hAnsi="Arial"/>
          <w:b/>
          <w:bCs/>
          <w:color w:val="000000"/>
          <w:sz w:val="28"/>
          <w:szCs w:val="28"/>
        </w:rPr>
        <w:t xml:space="preserve">5. Summary</w:t>
      </w:r>
    </w:p>
    <w:p>
      <w:pPr>
        <w:spacing w:after="60" w:before="60"/>
      </w:pPr>
      <w:r>
        <w:rPr>
          <w:rFonts w:ascii="Arial" w:cs="Arial" w:eastAsia="Arial" w:hAnsi="Arial"/>
          <w:color w:val="333333"/>
          <w:sz w:val="22"/>
          <w:szCs w:val="22"/>
        </w:rPr>
        <w:t xml:space="preserve">The augmentation ablation produced a clear, interpretable result. SMOTE’s rebalancing to 50/50 shifted TabNet toward aggressive positive prediction, achieving perfect recall at the cost of precision. This is a known and expected effect of oversampling at moderate class imbalance rates, not a failure of the augmentation pipeline. The noise regularisation component performed its intended role — AUC was unaffected, indicating that ranking quality was preserved. For deployment on data with the current 25.3% positive rate, the recommendation is either to use the real-only TabNet with threshold tuning, or to retrain the augmented variant with a more conservative SMOTE ratio. Both paths are viable depending on the enforcement priority.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Pension Contribution Default Prediction  ·  M2 Contribution  ·  Augmentation Ablation Interpretation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2026-08-25T09:30:55.538Z</dcterms:created>
  <dcterms:modified xsi:type="dcterms:W3CDTF">2026-08-25T09:30:55.548Z</dcterms:modified>
</cp:coreProperties>
</file>

<file path=docProps/custom.xml><?xml version="1.0" encoding="utf-8"?>
<Properties xmlns="http://schemas.openxmlformats.org/officeDocument/2006/custom-properties" xmlns:vt="http://schemas.openxmlformats.org/officeDocument/2006/docPropsVTypes"/>
</file>