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A006" w14:textId="49FC43B4" w:rsidR="003170A0" w:rsidRDefault="00677A79">
      <w:pPr>
        <w:jc w:val="center"/>
      </w:pPr>
      <w:r>
        <w:rPr>
          <w:b/>
          <w:sz w:val="40"/>
        </w:rPr>
        <w:t>AGUA Traders LTD</w:t>
      </w:r>
      <w:r w:rsidR="005107C8">
        <w:rPr>
          <w:b/>
          <w:sz w:val="40"/>
        </w:rPr>
        <w:t xml:space="preserve"> ERP</w:t>
      </w:r>
    </w:p>
    <w:p w14:paraId="5D330AF3" w14:textId="77777777" w:rsidR="003170A0" w:rsidRDefault="00000000">
      <w:pPr>
        <w:jc w:val="center"/>
      </w:pPr>
      <w:r>
        <w:rPr>
          <w:b/>
          <w:sz w:val="32"/>
        </w:rPr>
        <w:t>Executive Finance and Hosting Costs</w:t>
      </w:r>
    </w:p>
    <w:p w14:paraId="0A380763" w14:textId="01B95C8D" w:rsidR="003170A0" w:rsidRDefault="00000000">
      <w:r>
        <w:t xml:space="preserve">This document summarizes the expected recurring platform costs for running </w:t>
      </w:r>
      <w:r w:rsidR="00677A79">
        <w:t>AGUA Traders LTD</w:t>
      </w:r>
      <w:r w:rsidR="00272089">
        <w:t xml:space="preserve"> E</w:t>
      </w:r>
      <w:r w:rsidR="00677A79">
        <w:t>RP system</w:t>
      </w:r>
      <w:r>
        <w:t xml:space="preserve"> in production, together with operating controls for data protection, developer handover, and continuity.</w:t>
      </w:r>
    </w:p>
    <w:p w14:paraId="22802527" w14:textId="77777777" w:rsidR="003170A0" w:rsidRDefault="00000000">
      <w:pPr>
        <w:pStyle w:val="Heading1"/>
      </w:pPr>
      <w:r>
        <w:t>Key Assumptions</w:t>
      </w:r>
    </w:p>
    <w:p w14:paraId="291E07E2" w14:textId="77777777" w:rsidR="003170A0" w:rsidRDefault="00000000">
      <w:pPr>
        <w:pStyle w:val="ListBullet"/>
      </w:pPr>
      <w:r>
        <w:t>USD to KSh exchange rate: 1 USD = KSh 130.</w:t>
      </w:r>
    </w:p>
    <w:p w14:paraId="00214438" w14:textId="77777777" w:rsidR="003170A0" w:rsidRDefault="00000000">
      <w:pPr>
        <w:pStyle w:val="ListBullet"/>
      </w:pPr>
      <w:r>
        <w:t>Expected SMS usage: 100 to 300 SMS per month.</w:t>
      </w:r>
    </w:p>
    <w:p w14:paraId="1742C707" w14:textId="77777777" w:rsidR="003170A0" w:rsidRDefault="00000000">
      <w:pPr>
        <w:pStyle w:val="ListBullet"/>
      </w:pPr>
      <w:r>
        <w:t>Email remains on free Gmail for the current budget.</w:t>
      </w:r>
    </w:p>
    <w:p w14:paraId="77DA113C" w14:textId="77777777" w:rsidR="003170A0" w:rsidRDefault="00000000">
      <w:pPr>
        <w:pStyle w:val="ListBullet"/>
      </w:pPr>
      <w:r>
        <w:t>Google Workspace branded email may be considered as a later upgrade, but is not part of the current operating budget.</w:t>
      </w:r>
    </w:p>
    <w:p w14:paraId="03D43420" w14:textId="77777777" w:rsidR="003170A0" w:rsidRDefault="00000000">
      <w:pPr>
        <w:pStyle w:val="ListBullet"/>
      </w:pPr>
      <w:r>
        <w:t>SMS alerts should be limited to billing and service-critical messages to keep usage near 100 to 300 SMS per month.</w:t>
      </w:r>
    </w:p>
    <w:p w14:paraId="7EE068F1" w14:textId="77777777" w:rsidR="003170A0" w:rsidRDefault="00000000">
      <w:pPr>
        <w:pStyle w:val="ListBullet"/>
      </w:pPr>
      <w:r>
        <w:t>Domain renewal and warranty/IP protection are separate Host Africa items.</w:t>
      </w:r>
    </w:p>
    <w:p w14:paraId="0226E409" w14:textId="77777777" w:rsidR="003170A0" w:rsidRDefault="00000000">
      <w:pPr>
        <w:pStyle w:val="Heading1"/>
      </w:pPr>
      <w:r>
        <w:t>Recurring Cost Summary</w:t>
      </w:r>
    </w:p>
    <w:tbl>
      <w:tblPr>
        <w:tblStyle w:val="TableGrid"/>
        <w:tblW w:w="0" w:type="auto"/>
        <w:jc w:val="center"/>
        <w:tblLook w:val="04A0" w:firstRow="1" w:lastRow="0" w:firstColumn="1" w:lastColumn="0" w:noHBand="0" w:noVBand="1"/>
      </w:tblPr>
      <w:tblGrid>
        <w:gridCol w:w="2433"/>
        <w:gridCol w:w="1425"/>
        <w:gridCol w:w="1917"/>
        <w:gridCol w:w="1422"/>
        <w:gridCol w:w="3099"/>
      </w:tblGrid>
      <w:tr w:rsidR="003170A0" w14:paraId="0B3832CB" w14:textId="77777777">
        <w:trPr>
          <w:jc w:val="center"/>
        </w:trPr>
        <w:tc>
          <w:tcPr>
            <w:tcW w:w="2448" w:type="dxa"/>
            <w:shd w:val="clear" w:color="auto" w:fill="D9EAF7"/>
            <w:vAlign w:val="center"/>
          </w:tcPr>
          <w:p w14:paraId="2906D1C3" w14:textId="77777777" w:rsidR="003170A0" w:rsidRDefault="00000000">
            <w:pPr>
              <w:spacing w:after="40"/>
            </w:pPr>
            <w:r>
              <w:rPr>
                <w:b/>
              </w:rPr>
              <w:t>Item</w:t>
            </w:r>
          </w:p>
        </w:tc>
        <w:tc>
          <w:tcPr>
            <w:tcW w:w="1440" w:type="dxa"/>
            <w:shd w:val="clear" w:color="auto" w:fill="D9EAF7"/>
            <w:vAlign w:val="center"/>
          </w:tcPr>
          <w:p w14:paraId="05A9EAEE" w14:textId="77777777" w:rsidR="003170A0" w:rsidRDefault="00000000">
            <w:pPr>
              <w:spacing w:after="40"/>
            </w:pPr>
            <w:r>
              <w:rPr>
                <w:b/>
              </w:rPr>
              <w:t>Provider</w:t>
            </w:r>
          </w:p>
        </w:tc>
        <w:tc>
          <w:tcPr>
            <w:tcW w:w="1944" w:type="dxa"/>
            <w:shd w:val="clear" w:color="auto" w:fill="D9EAF7"/>
            <w:vAlign w:val="center"/>
          </w:tcPr>
          <w:p w14:paraId="62A662B5" w14:textId="77777777" w:rsidR="003170A0" w:rsidRDefault="00000000">
            <w:pPr>
              <w:spacing w:after="40"/>
            </w:pPr>
            <w:r>
              <w:rPr>
                <w:b/>
              </w:rPr>
              <w:t>Estimated Cost</w:t>
            </w:r>
          </w:p>
        </w:tc>
        <w:tc>
          <w:tcPr>
            <w:tcW w:w="1440" w:type="dxa"/>
            <w:shd w:val="clear" w:color="auto" w:fill="D9EAF7"/>
            <w:vAlign w:val="center"/>
          </w:tcPr>
          <w:p w14:paraId="2425A714" w14:textId="77777777" w:rsidR="003170A0" w:rsidRDefault="00000000">
            <w:pPr>
              <w:spacing w:after="40"/>
            </w:pPr>
            <w:r>
              <w:rPr>
                <w:b/>
              </w:rPr>
              <w:t>Billing Cycle</w:t>
            </w:r>
          </w:p>
        </w:tc>
        <w:tc>
          <w:tcPr>
            <w:tcW w:w="3168" w:type="dxa"/>
            <w:shd w:val="clear" w:color="auto" w:fill="D9EAF7"/>
            <w:vAlign w:val="center"/>
          </w:tcPr>
          <w:p w14:paraId="53875E44" w14:textId="77777777" w:rsidR="003170A0" w:rsidRDefault="00000000">
            <w:pPr>
              <w:spacing w:after="40"/>
            </w:pPr>
            <w:r>
              <w:rPr>
                <w:b/>
              </w:rPr>
              <w:t>Notes</w:t>
            </w:r>
          </w:p>
        </w:tc>
      </w:tr>
      <w:tr w:rsidR="003170A0" w14:paraId="30F30E3C" w14:textId="77777777">
        <w:trPr>
          <w:jc w:val="center"/>
        </w:trPr>
        <w:tc>
          <w:tcPr>
            <w:tcW w:w="2448" w:type="dxa"/>
            <w:vAlign w:val="center"/>
          </w:tcPr>
          <w:p w14:paraId="0601524B" w14:textId="77777777" w:rsidR="003170A0" w:rsidRDefault="00000000">
            <w:pPr>
              <w:spacing w:after="40"/>
            </w:pPr>
            <w:r>
              <w:t>Domain registration/renewal</w:t>
            </w:r>
          </w:p>
        </w:tc>
        <w:tc>
          <w:tcPr>
            <w:tcW w:w="1440" w:type="dxa"/>
            <w:vAlign w:val="center"/>
          </w:tcPr>
          <w:p w14:paraId="7BBEB1BA" w14:textId="77777777" w:rsidR="003170A0" w:rsidRDefault="00000000">
            <w:pPr>
              <w:spacing w:after="40"/>
            </w:pPr>
            <w:r>
              <w:t>Host Africa</w:t>
            </w:r>
          </w:p>
        </w:tc>
        <w:tc>
          <w:tcPr>
            <w:tcW w:w="1944" w:type="dxa"/>
            <w:vAlign w:val="center"/>
          </w:tcPr>
          <w:p w14:paraId="5DB52C66" w14:textId="77777777" w:rsidR="003170A0" w:rsidRDefault="00000000">
            <w:pPr>
              <w:spacing w:after="40"/>
            </w:pPr>
            <w:r>
              <w:t>KSh 2,350</w:t>
            </w:r>
          </w:p>
        </w:tc>
        <w:tc>
          <w:tcPr>
            <w:tcW w:w="1440" w:type="dxa"/>
            <w:vAlign w:val="center"/>
          </w:tcPr>
          <w:p w14:paraId="0A751A67" w14:textId="77777777" w:rsidR="003170A0" w:rsidRDefault="00000000">
            <w:pPr>
              <w:spacing w:after="40"/>
            </w:pPr>
            <w:r>
              <w:t>Yearly</w:t>
            </w:r>
          </w:p>
        </w:tc>
        <w:tc>
          <w:tcPr>
            <w:tcW w:w="3168" w:type="dxa"/>
            <w:vAlign w:val="center"/>
          </w:tcPr>
          <w:p w14:paraId="4982909F" w14:textId="77777777" w:rsidR="003170A0" w:rsidRDefault="00000000">
            <w:pPr>
              <w:spacing w:after="40"/>
            </w:pPr>
            <w:r>
              <w:t>Public domain managed by Host Africa.</w:t>
            </w:r>
          </w:p>
        </w:tc>
      </w:tr>
      <w:tr w:rsidR="003170A0" w14:paraId="1D5A5714" w14:textId="77777777">
        <w:trPr>
          <w:jc w:val="center"/>
        </w:trPr>
        <w:tc>
          <w:tcPr>
            <w:tcW w:w="2448" w:type="dxa"/>
            <w:vAlign w:val="center"/>
          </w:tcPr>
          <w:p w14:paraId="7775F1E7" w14:textId="77777777" w:rsidR="003170A0" w:rsidRDefault="00000000">
            <w:pPr>
              <w:spacing w:after="40"/>
            </w:pPr>
            <w:r>
              <w:t>Warranty and IP protection</w:t>
            </w:r>
          </w:p>
        </w:tc>
        <w:tc>
          <w:tcPr>
            <w:tcW w:w="1440" w:type="dxa"/>
            <w:vAlign w:val="center"/>
          </w:tcPr>
          <w:p w14:paraId="02CE3085" w14:textId="77777777" w:rsidR="003170A0" w:rsidRDefault="00000000">
            <w:pPr>
              <w:spacing w:after="40"/>
            </w:pPr>
            <w:r>
              <w:t>Host Africa</w:t>
            </w:r>
          </w:p>
        </w:tc>
        <w:tc>
          <w:tcPr>
            <w:tcW w:w="1944" w:type="dxa"/>
            <w:vAlign w:val="center"/>
          </w:tcPr>
          <w:p w14:paraId="3B280CB3" w14:textId="77777777" w:rsidR="003170A0" w:rsidRDefault="00000000">
            <w:pPr>
              <w:spacing w:after="40"/>
            </w:pPr>
            <w:r>
              <w:t>KSh 1,000</w:t>
            </w:r>
          </w:p>
        </w:tc>
        <w:tc>
          <w:tcPr>
            <w:tcW w:w="1440" w:type="dxa"/>
            <w:vAlign w:val="center"/>
          </w:tcPr>
          <w:p w14:paraId="0A7BF338" w14:textId="77777777" w:rsidR="003170A0" w:rsidRDefault="00000000">
            <w:pPr>
              <w:spacing w:after="40"/>
            </w:pPr>
            <w:r>
              <w:t>Yearly</w:t>
            </w:r>
          </w:p>
        </w:tc>
        <w:tc>
          <w:tcPr>
            <w:tcW w:w="3168" w:type="dxa"/>
            <w:vAlign w:val="center"/>
          </w:tcPr>
          <w:p w14:paraId="502E5AB3" w14:textId="77777777" w:rsidR="003170A0" w:rsidRDefault="00000000">
            <w:pPr>
              <w:spacing w:after="40"/>
            </w:pPr>
            <w:r>
              <w:t>Separate protection item from the same registrar.</w:t>
            </w:r>
          </w:p>
        </w:tc>
      </w:tr>
      <w:tr w:rsidR="003170A0" w14:paraId="27A29BDD" w14:textId="77777777">
        <w:trPr>
          <w:jc w:val="center"/>
        </w:trPr>
        <w:tc>
          <w:tcPr>
            <w:tcW w:w="2448" w:type="dxa"/>
            <w:vAlign w:val="center"/>
          </w:tcPr>
          <w:p w14:paraId="2DCB49C6" w14:textId="77777777" w:rsidR="003170A0" w:rsidRDefault="00000000">
            <w:pPr>
              <w:spacing w:after="40"/>
            </w:pPr>
            <w:r>
              <w:t>Web app and API hosting</w:t>
            </w:r>
          </w:p>
        </w:tc>
        <w:tc>
          <w:tcPr>
            <w:tcW w:w="1440" w:type="dxa"/>
            <w:vAlign w:val="center"/>
          </w:tcPr>
          <w:p w14:paraId="6AD9EA8C" w14:textId="77777777" w:rsidR="003170A0" w:rsidRDefault="00000000">
            <w:pPr>
              <w:spacing w:after="40"/>
            </w:pPr>
            <w:r>
              <w:t>Vercel</w:t>
            </w:r>
          </w:p>
        </w:tc>
        <w:tc>
          <w:tcPr>
            <w:tcW w:w="1944" w:type="dxa"/>
            <w:vAlign w:val="center"/>
          </w:tcPr>
          <w:p w14:paraId="4507F0D9" w14:textId="77777777" w:rsidR="003170A0" w:rsidRDefault="00000000">
            <w:pPr>
              <w:spacing w:after="40"/>
            </w:pPr>
            <w:r>
              <w:t>USD 20</w:t>
            </w:r>
          </w:p>
        </w:tc>
        <w:tc>
          <w:tcPr>
            <w:tcW w:w="1440" w:type="dxa"/>
            <w:vAlign w:val="center"/>
          </w:tcPr>
          <w:p w14:paraId="5CAF9590" w14:textId="77777777" w:rsidR="003170A0" w:rsidRDefault="00000000">
            <w:pPr>
              <w:spacing w:after="40"/>
            </w:pPr>
            <w:r>
              <w:t>Monthly</w:t>
            </w:r>
          </w:p>
        </w:tc>
        <w:tc>
          <w:tcPr>
            <w:tcW w:w="3168" w:type="dxa"/>
            <w:vAlign w:val="center"/>
          </w:tcPr>
          <w:p w14:paraId="5709A242" w14:textId="77777777" w:rsidR="003170A0" w:rsidRDefault="00000000">
            <w:pPr>
              <w:spacing w:after="40"/>
            </w:pPr>
            <w:r>
              <w:t>Hosts the React web app and Express API.</w:t>
            </w:r>
          </w:p>
        </w:tc>
      </w:tr>
      <w:tr w:rsidR="003170A0" w14:paraId="08033400" w14:textId="77777777">
        <w:trPr>
          <w:jc w:val="center"/>
        </w:trPr>
        <w:tc>
          <w:tcPr>
            <w:tcW w:w="2448" w:type="dxa"/>
            <w:vAlign w:val="center"/>
          </w:tcPr>
          <w:p w14:paraId="2442379E" w14:textId="77777777" w:rsidR="003170A0" w:rsidRDefault="00000000">
            <w:pPr>
              <w:spacing w:after="40"/>
            </w:pPr>
            <w:r>
              <w:t>PostgreSQL database hosting</w:t>
            </w:r>
          </w:p>
        </w:tc>
        <w:tc>
          <w:tcPr>
            <w:tcW w:w="1440" w:type="dxa"/>
            <w:vAlign w:val="center"/>
          </w:tcPr>
          <w:p w14:paraId="1B5C6312" w14:textId="77777777" w:rsidR="003170A0" w:rsidRDefault="00000000">
            <w:pPr>
              <w:spacing w:after="40"/>
            </w:pPr>
            <w:r>
              <w:t>Neon</w:t>
            </w:r>
          </w:p>
        </w:tc>
        <w:tc>
          <w:tcPr>
            <w:tcW w:w="1944" w:type="dxa"/>
            <w:vAlign w:val="center"/>
          </w:tcPr>
          <w:p w14:paraId="425165A2" w14:textId="77777777" w:rsidR="003170A0" w:rsidRDefault="00000000">
            <w:pPr>
              <w:spacing w:after="40"/>
            </w:pPr>
            <w:r>
              <w:t>USD 15</w:t>
            </w:r>
          </w:p>
        </w:tc>
        <w:tc>
          <w:tcPr>
            <w:tcW w:w="1440" w:type="dxa"/>
            <w:vAlign w:val="center"/>
          </w:tcPr>
          <w:p w14:paraId="47B4C541" w14:textId="77777777" w:rsidR="003170A0" w:rsidRDefault="00000000">
            <w:pPr>
              <w:spacing w:after="40"/>
            </w:pPr>
            <w:r>
              <w:t>Monthly</w:t>
            </w:r>
          </w:p>
        </w:tc>
        <w:tc>
          <w:tcPr>
            <w:tcW w:w="3168" w:type="dxa"/>
            <w:vAlign w:val="center"/>
          </w:tcPr>
          <w:p w14:paraId="7D001A70" w14:textId="77777777" w:rsidR="003170A0" w:rsidRDefault="00000000">
            <w:pPr>
              <w:spacing w:after="40"/>
            </w:pPr>
            <w:r>
              <w:t>Hosts the managed PostgreSQL production database.</w:t>
            </w:r>
          </w:p>
        </w:tc>
      </w:tr>
      <w:tr w:rsidR="003170A0" w14:paraId="70009D5A" w14:textId="77777777">
        <w:trPr>
          <w:jc w:val="center"/>
        </w:trPr>
        <w:tc>
          <w:tcPr>
            <w:tcW w:w="2448" w:type="dxa"/>
            <w:vAlign w:val="center"/>
          </w:tcPr>
          <w:p w14:paraId="7DEE9A78" w14:textId="77777777" w:rsidR="003170A0" w:rsidRDefault="00000000">
            <w:pPr>
              <w:spacing w:after="40"/>
            </w:pPr>
            <w:r>
              <w:t>Email</w:t>
            </w:r>
          </w:p>
        </w:tc>
        <w:tc>
          <w:tcPr>
            <w:tcW w:w="1440" w:type="dxa"/>
            <w:vAlign w:val="center"/>
          </w:tcPr>
          <w:p w14:paraId="45A8EFD2" w14:textId="77777777" w:rsidR="003170A0" w:rsidRDefault="00000000">
            <w:pPr>
              <w:spacing w:after="40"/>
            </w:pPr>
            <w:r>
              <w:t>Gmail</w:t>
            </w:r>
          </w:p>
        </w:tc>
        <w:tc>
          <w:tcPr>
            <w:tcW w:w="1944" w:type="dxa"/>
            <w:vAlign w:val="center"/>
          </w:tcPr>
          <w:p w14:paraId="7D051970" w14:textId="77777777" w:rsidR="003170A0" w:rsidRDefault="00000000">
            <w:pPr>
              <w:spacing w:after="40"/>
            </w:pPr>
            <w:r>
              <w:t>Free</w:t>
            </w:r>
          </w:p>
        </w:tc>
        <w:tc>
          <w:tcPr>
            <w:tcW w:w="1440" w:type="dxa"/>
            <w:vAlign w:val="center"/>
          </w:tcPr>
          <w:p w14:paraId="47ADC8D6" w14:textId="77777777" w:rsidR="003170A0" w:rsidRDefault="00000000">
            <w:pPr>
              <w:spacing w:after="40"/>
            </w:pPr>
            <w:r>
              <w:t>Monthly</w:t>
            </w:r>
          </w:p>
        </w:tc>
        <w:tc>
          <w:tcPr>
            <w:tcW w:w="3168" w:type="dxa"/>
            <w:vAlign w:val="center"/>
          </w:tcPr>
          <w:p w14:paraId="70FE89FD" w14:textId="77777777" w:rsidR="003170A0" w:rsidRDefault="00000000">
            <w:pPr>
              <w:spacing w:after="40"/>
            </w:pPr>
            <w:r>
              <w:t>Normal email service; branded Workspace email can be added later.</w:t>
            </w:r>
          </w:p>
        </w:tc>
      </w:tr>
      <w:tr w:rsidR="003170A0" w14:paraId="65742AA7" w14:textId="77777777">
        <w:trPr>
          <w:jc w:val="center"/>
        </w:trPr>
        <w:tc>
          <w:tcPr>
            <w:tcW w:w="2448" w:type="dxa"/>
            <w:vAlign w:val="center"/>
          </w:tcPr>
          <w:p w14:paraId="62A17C01" w14:textId="77777777" w:rsidR="003170A0" w:rsidRDefault="00000000">
            <w:pPr>
              <w:spacing w:after="40"/>
            </w:pPr>
            <w:r>
              <w:t>Virtual phone number lease</w:t>
            </w:r>
          </w:p>
        </w:tc>
        <w:tc>
          <w:tcPr>
            <w:tcW w:w="1440" w:type="dxa"/>
            <w:vAlign w:val="center"/>
          </w:tcPr>
          <w:p w14:paraId="681F2B5F" w14:textId="77777777" w:rsidR="003170A0" w:rsidRDefault="00000000">
            <w:pPr>
              <w:spacing w:after="40"/>
            </w:pPr>
            <w:r>
              <w:t>Twilio</w:t>
            </w:r>
          </w:p>
        </w:tc>
        <w:tc>
          <w:tcPr>
            <w:tcW w:w="1944" w:type="dxa"/>
            <w:vAlign w:val="center"/>
          </w:tcPr>
          <w:p w14:paraId="0ECFC2C4" w14:textId="77777777" w:rsidR="003170A0" w:rsidRDefault="00000000">
            <w:pPr>
              <w:spacing w:after="40"/>
            </w:pPr>
            <w:r>
              <w:t>USD 1.15</w:t>
            </w:r>
          </w:p>
        </w:tc>
        <w:tc>
          <w:tcPr>
            <w:tcW w:w="1440" w:type="dxa"/>
            <w:vAlign w:val="center"/>
          </w:tcPr>
          <w:p w14:paraId="536F9838" w14:textId="77777777" w:rsidR="003170A0" w:rsidRDefault="00000000">
            <w:pPr>
              <w:spacing w:after="40"/>
            </w:pPr>
            <w:r>
              <w:t>Monthly</w:t>
            </w:r>
          </w:p>
        </w:tc>
        <w:tc>
          <w:tcPr>
            <w:tcW w:w="3168" w:type="dxa"/>
            <w:vAlign w:val="center"/>
          </w:tcPr>
          <w:p w14:paraId="7B2F6CF7" w14:textId="77777777" w:rsidR="003170A0" w:rsidRDefault="00000000">
            <w:pPr>
              <w:spacing w:after="40"/>
            </w:pPr>
            <w:r>
              <w:t>Leased number for messaging capability.</w:t>
            </w:r>
          </w:p>
        </w:tc>
      </w:tr>
      <w:tr w:rsidR="003170A0" w14:paraId="70AB8DA0" w14:textId="77777777">
        <w:trPr>
          <w:jc w:val="center"/>
        </w:trPr>
        <w:tc>
          <w:tcPr>
            <w:tcW w:w="2448" w:type="dxa"/>
            <w:vAlign w:val="center"/>
          </w:tcPr>
          <w:p w14:paraId="34952A4D" w14:textId="77777777" w:rsidR="003170A0" w:rsidRDefault="00000000">
            <w:pPr>
              <w:spacing w:after="40"/>
            </w:pPr>
            <w:r>
              <w:t>SMS sending</w:t>
            </w:r>
          </w:p>
        </w:tc>
        <w:tc>
          <w:tcPr>
            <w:tcW w:w="1440" w:type="dxa"/>
            <w:vAlign w:val="center"/>
          </w:tcPr>
          <w:p w14:paraId="59849973" w14:textId="77777777" w:rsidR="003170A0" w:rsidRDefault="00000000">
            <w:pPr>
              <w:spacing w:after="40"/>
            </w:pPr>
            <w:r>
              <w:t>Twilio</w:t>
            </w:r>
          </w:p>
        </w:tc>
        <w:tc>
          <w:tcPr>
            <w:tcW w:w="1944" w:type="dxa"/>
            <w:vAlign w:val="center"/>
          </w:tcPr>
          <w:p w14:paraId="4EFFA393" w14:textId="77777777" w:rsidR="003170A0" w:rsidRDefault="00000000">
            <w:pPr>
              <w:spacing w:after="40"/>
            </w:pPr>
            <w:r>
              <w:t>USD 0.0045 to USD 0.0083 per SMS</w:t>
            </w:r>
          </w:p>
        </w:tc>
        <w:tc>
          <w:tcPr>
            <w:tcW w:w="1440" w:type="dxa"/>
            <w:vAlign w:val="center"/>
          </w:tcPr>
          <w:p w14:paraId="40330D3A" w14:textId="77777777" w:rsidR="003170A0" w:rsidRDefault="00000000">
            <w:pPr>
              <w:spacing w:after="40"/>
            </w:pPr>
            <w:r>
              <w:t>Pay as you go</w:t>
            </w:r>
          </w:p>
        </w:tc>
        <w:tc>
          <w:tcPr>
            <w:tcW w:w="3168" w:type="dxa"/>
            <w:vAlign w:val="center"/>
          </w:tcPr>
          <w:p w14:paraId="018F4736" w14:textId="77777777" w:rsidR="003170A0" w:rsidRDefault="00000000">
            <w:pPr>
              <w:spacing w:after="40"/>
            </w:pPr>
            <w:r>
              <w:t>Cost scales with actual SMS volume sent.</w:t>
            </w:r>
          </w:p>
        </w:tc>
      </w:tr>
    </w:tbl>
    <w:p w14:paraId="00651703" w14:textId="77777777" w:rsidR="003170A0" w:rsidRDefault="00000000">
      <w:pPr>
        <w:pStyle w:val="Heading1"/>
      </w:pPr>
      <w:r>
        <w:t>Monthly Operating Estimate</w:t>
      </w:r>
    </w:p>
    <w:tbl>
      <w:tblPr>
        <w:tblStyle w:val="TableGrid"/>
        <w:tblW w:w="0" w:type="auto"/>
        <w:tblLook w:val="04A0" w:firstRow="1" w:lastRow="0" w:firstColumn="1" w:lastColumn="0" w:noHBand="0" w:noVBand="1"/>
      </w:tblPr>
      <w:tblGrid>
        <w:gridCol w:w="5040"/>
        <w:gridCol w:w="5040"/>
      </w:tblGrid>
      <w:tr w:rsidR="003170A0" w14:paraId="0C709B0A" w14:textId="77777777">
        <w:tc>
          <w:tcPr>
            <w:tcW w:w="5040" w:type="dxa"/>
            <w:shd w:val="clear" w:color="auto" w:fill="D9EAF7"/>
            <w:vAlign w:val="center"/>
          </w:tcPr>
          <w:p w14:paraId="41306BB0" w14:textId="77777777" w:rsidR="003170A0" w:rsidRDefault="00000000">
            <w:pPr>
              <w:spacing w:after="40"/>
            </w:pPr>
            <w:r>
              <w:rPr>
                <w:b/>
              </w:rPr>
              <w:t>Calculation</w:t>
            </w:r>
          </w:p>
        </w:tc>
        <w:tc>
          <w:tcPr>
            <w:tcW w:w="5040" w:type="dxa"/>
            <w:shd w:val="clear" w:color="auto" w:fill="D9EAF7"/>
            <w:vAlign w:val="center"/>
          </w:tcPr>
          <w:p w14:paraId="79A00F1C" w14:textId="77777777" w:rsidR="003170A0" w:rsidRDefault="00000000">
            <w:pPr>
              <w:spacing w:after="40"/>
            </w:pPr>
            <w:r>
              <w:rPr>
                <w:b/>
              </w:rPr>
              <w:t>Amount</w:t>
            </w:r>
          </w:p>
        </w:tc>
      </w:tr>
      <w:tr w:rsidR="003170A0" w14:paraId="0AD6A463" w14:textId="77777777">
        <w:tc>
          <w:tcPr>
            <w:tcW w:w="5040" w:type="dxa"/>
            <w:vAlign w:val="center"/>
          </w:tcPr>
          <w:p w14:paraId="56F87778" w14:textId="77777777" w:rsidR="003170A0" w:rsidRDefault="00000000">
            <w:pPr>
              <w:spacing w:after="40"/>
            </w:pPr>
            <w:r>
              <w:t>Fixed monthly infrastructure before SMS</w:t>
            </w:r>
          </w:p>
        </w:tc>
        <w:tc>
          <w:tcPr>
            <w:tcW w:w="5040" w:type="dxa"/>
            <w:vAlign w:val="center"/>
          </w:tcPr>
          <w:p w14:paraId="150C1036" w14:textId="77777777" w:rsidR="003170A0" w:rsidRDefault="00000000">
            <w:pPr>
              <w:spacing w:after="40"/>
            </w:pPr>
            <w:r>
              <w:t>USD 36.15 / KSh 4,699.50</w:t>
            </w:r>
          </w:p>
        </w:tc>
      </w:tr>
      <w:tr w:rsidR="003170A0" w14:paraId="4347DC36" w14:textId="77777777">
        <w:tc>
          <w:tcPr>
            <w:tcW w:w="5040" w:type="dxa"/>
            <w:vAlign w:val="center"/>
          </w:tcPr>
          <w:p w14:paraId="676D295A" w14:textId="77777777" w:rsidR="003170A0" w:rsidRDefault="00000000">
            <w:pPr>
              <w:spacing w:after="40"/>
            </w:pPr>
            <w:r>
              <w:t>Expected monthly SMS range</w:t>
            </w:r>
          </w:p>
        </w:tc>
        <w:tc>
          <w:tcPr>
            <w:tcW w:w="5040" w:type="dxa"/>
            <w:vAlign w:val="center"/>
          </w:tcPr>
          <w:p w14:paraId="61D85528" w14:textId="77777777" w:rsidR="003170A0" w:rsidRDefault="00000000">
            <w:pPr>
              <w:spacing w:after="40"/>
            </w:pPr>
            <w:r>
              <w:t>KSh 58.50 to KSh 323.70</w:t>
            </w:r>
          </w:p>
        </w:tc>
      </w:tr>
      <w:tr w:rsidR="003170A0" w14:paraId="6A50C0BD" w14:textId="77777777">
        <w:tc>
          <w:tcPr>
            <w:tcW w:w="5040" w:type="dxa"/>
            <w:vAlign w:val="center"/>
          </w:tcPr>
          <w:p w14:paraId="36D7E70C" w14:textId="77777777" w:rsidR="003170A0" w:rsidRDefault="00000000">
            <w:pPr>
              <w:spacing w:after="40"/>
            </w:pPr>
            <w:r>
              <w:t>Host Africa yearly cost spread monthly</w:t>
            </w:r>
          </w:p>
        </w:tc>
        <w:tc>
          <w:tcPr>
            <w:tcW w:w="5040" w:type="dxa"/>
            <w:vAlign w:val="center"/>
          </w:tcPr>
          <w:p w14:paraId="13C792A0" w14:textId="77777777" w:rsidR="003170A0" w:rsidRDefault="00000000">
            <w:pPr>
              <w:spacing w:after="40"/>
            </w:pPr>
            <w:r>
              <w:t>KSh 279.17</w:t>
            </w:r>
          </w:p>
        </w:tc>
      </w:tr>
      <w:tr w:rsidR="003170A0" w14:paraId="177D5A59" w14:textId="77777777">
        <w:tc>
          <w:tcPr>
            <w:tcW w:w="5040" w:type="dxa"/>
            <w:vAlign w:val="center"/>
          </w:tcPr>
          <w:p w14:paraId="36FF10D7" w14:textId="77777777" w:rsidR="003170A0" w:rsidRDefault="00000000">
            <w:pPr>
              <w:spacing w:after="40"/>
            </w:pPr>
            <w:r>
              <w:t>Expected monthly operating range</w:t>
            </w:r>
          </w:p>
        </w:tc>
        <w:tc>
          <w:tcPr>
            <w:tcW w:w="5040" w:type="dxa"/>
            <w:vAlign w:val="center"/>
          </w:tcPr>
          <w:p w14:paraId="7235DD72" w14:textId="77777777" w:rsidR="003170A0" w:rsidRDefault="00000000">
            <w:pPr>
              <w:spacing w:after="40"/>
            </w:pPr>
            <w:r>
              <w:t>KSh 5,037.17 to KSh 5,302.37</w:t>
            </w:r>
          </w:p>
        </w:tc>
      </w:tr>
    </w:tbl>
    <w:p w14:paraId="3EFFCC98" w14:textId="77777777" w:rsidR="003170A0" w:rsidRDefault="00000000">
      <w:pPr>
        <w:pStyle w:val="Heading1"/>
      </w:pPr>
      <w:r>
        <w:lastRenderedPageBreak/>
        <w:t>Yearly Operating Estimate</w:t>
      </w:r>
    </w:p>
    <w:tbl>
      <w:tblPr>
        <w:tblStyle w:val="TableGrid"/>
        <w:tblW w:w="0" w:type="auto"/>
        <w:tblLook w:val="04A0" w:firstRow="1" w:lastRow="0" w:firstColumn="1" w:lastColumn="0" w:noHBand="0" w:noVBand="1"/>
      </w:tblPr>
      <w:tblGrid>
        <w:gridCol w:w="5040"/>
        <w:gridCol w:w="5040"/>
      </w:tblGrid>
      <w:tr w:rsidR="003170A0" w14:paraId="3E48CC23" w14:textId="77777777">
        <w:tc>
          <w:tcPr>
            <w:tcW w:w="5040" w:type="dxa"/>
            <w:shd w:val="clear" w:color="auto" w:fill="D9EAF7"/>
            <w:vAlign w:val="center"/>
          </w:tcPr>
          <w:p w14:paraId="7658A8E6" w14:textId="77777777" w:rsidR="003170A0" w:rsidRDefault="00000000">
            <w:pPr>
              <w:spacing w:after="40"/>
            </w:pPr>
            <w:r>
              <w:rPr>
                <w:b/>
              </w:rPr>
              <w:t>Calculation</w:t>
            </w:r>
          </w:p>
        </w:tc>
        <w:tc>
          <w:tcPr>
            <w:tcW w:w="5040" w:type="dxa"/>
            <w:shd w:val="clear" w:color="auto" w:fill="D9EAF7"/>
            <w:vAlign w:val="center"/>
          </w:tcPr>
          <w:p w14:paraId="42547CE9" w14:textId="77777777" w:rsidR="003170A0" w:rsidRDefault="00000000">
            <w:pPr>
              <w:spacing w:after="40"/>
            </w:pPr>
            <w:r>
              <w:rPr>
                <w:b/>
              </w:rPr>
              <w:t>Amount</w:t>
            </w:r>
          </w:p>
        </w:tc>
      </w:tr>
      <w:tr w:rsidR="003170A0" w14:paraId="57640243" w14:textId="77777777">
        <w:tc>
          <w:tcPr>
            <w:tcW w:w="5040" w:type="dxa"/>
            <w:vAlign w:val="center"/>
          </w:tcPr>
          <w:p w14:paraId="09CC3E39" w14:textId="77777777" w:rsidR="003170A0" w:rsidRDefault="00000000">
            <w:pPr>
              <w:spacing w:after="40"/>
            </w:pPr>
            <w:r>
              <w:t>Fixed yearly infrastructure before SMS</w:t>
            </w:r>
          </w:p>
        </w:tc>
        <w:tc>
          <w:tcPr>
            <w:tcW w:w="5040" w:type="dxa"/>
            <w:vAlign w:val="center"/>
          </w:tcPr>
          <w:p w14:paraId="7B7BCC92" w14:textId="77777777" w:rsidR="003170A0" w:rsidRDefault="00000000">
            <w:pPr>
              <w:spacing w:after="40"/>
            </w:pPr>
            <w:r>
              <w:t>USD 433.80 / KSh 56,394.00</w:t>
            </w:r>
          </w:p>
        </w:tc>
      </w:tr>
      <w:tr w:rsidR="003170A0" w14:paraId="04996F2F" w14:textId="77777777">
        <w:tc>
          <w:tcPr>
            <w:tcW w:w="5040" w:type="dxa"/>
            <w:vAlign w:val="center"/>
          </w:tcPr>
          <w:p w14:paraId="32B79CAE" w14:textId="77777777" w:rsidR="003170A0" w:rsidRDefault="00000000">
            <w:pPr>
              <w:spacing w:after="40"/>
            </w:pPr>
            <w:r>
              <w:t>Host Africa yearly total</w:t>
            </w:r>
          </w:p>
        </w:tc>
        <w:tc>
          <w:tcPr>
            <w:tcW w:w="5040" w:type="dxa"/>
            <w:vAlign w:val="center"/>
          </w:tcPr>
          <w:p w14:paraId="49029EF8" w14:textId="77777777" w:rsidR="003170A0" w:rsidRDefault="00000000">
            <w:pPr>
              <w:spacing w:after="40"/>
            </w:pPr>
            <w:r>
              <w:t>KSh 3,350.00</w:t>
            </w:r>
          </w:p>
        </w:tc>
      </w:tr>
      <w:tr w:rsidR="003170A0" w14:paraId="32C9F376" w14:textId="77777777">
        <w:tc>
          <w:tcPr>
            <w:tcW w:w="5040" w:type="dxa"/>
            <w:vAlign w:val="center"/>
          </w:tcPr>
          <w:p w14:paraId="0D4AFE72" w14:textId="77777777" w:rsidR="003170A0" w:rsidRDefault="00000000">
            <w:pPr>
              <w:spacing w:after="40"/>
            </w:pPr>
            <w:r>
              <w:t>Expected yearly SMS range</w:t>
            </w:r>
          </w:p>
        </w:tc>
        <w:tc>
          <w:tcPr>
            <w:tcW w:w="5040" w:type="dxa"/>
            <w:vAlign w:val="center"/>
          </w:tcPr>
          <w:p w14:paraId="111020E0" w14:textId="77777777" w:rsidR="003170A0" w:rsidRDefault="00000000">
            <w:pPr>
              <w:spacing w:after="40"/>
            </w:pPr>
            <w:r>
              <w:t>KSh 702.00 to KSh 3,884.40</w:t>
            </w:r>
          </w:p>
        </w:tc>
      </w:tr>
      <w:tr w:rsidR="003170A0" w14:paraId="69B81B65" w14:textId="77777777">
        <w:tc>
          <w:tcPr>
            <w:tcW w:w="5040" w:type="dxa"/>
            <w:vAlign w:val="center"/>
          </w:tcPr>
          <w:p w14:paraId="088DD7A7" w14:textId="77777777" w:rsidR="003170A0" w:rsidRDefault="00000000">
            <w:pPr>
              <w:spacing w:after="40"/>
            </w:pPr>
            <w:r>
              <w:t>Expected yearly operating range</w:t>
            </w:r>
          </w:p>
        </w:tc>
        <w:tc>
          <w:tcPr>
            <w:tcW w:w="5040" w:type="dxa"/>
            <w:vAlign w:val="center"/>
          </w:tcPr>
          <w:p w14:paraId="4496D6B8" w14:textId="77777777" w:rsidR="003170A0" w:rsidRDefault="00000000">
            <w:pPr>
              <w:spacing w:after="40"/>
            </w:pPr>
            <w:r>
              <w:t>KSh 60,446.00 to KSh 63,628.40</w:t>
            </w:r>
          </w:p>
        </w:tc>
      </w:tr>
    </w:tbl>
    <w:p w14:paraId="56FFE7A1" w14:textId="77777777" w:rsidR="003170A0" w:rsidRDefault="00000000" w:rsidP="00272089">
      <w:pPr>
        <w:pStyle w:val="Heading1"/>
        <w:spacing w:before="120" w:line="240" w:lineRule="auto"/>
      </w:pPr>
      <w:r>
        <w:t>Financial Interpretation</w:t>
      </w:r>
    </w:p>
    <w:p w14:paraId="3265E195" w14:textId="77777777" w:rsidR="003170A0" w:rsidRDefault="00000000">
      <w:r>
        <w:t>The system has a low fixed operating cost. Core production infrastructure is approximately USD 36.15 per month before SMS usage, which is KSh 4,699.50 at KSh 130/USD. With expected SMS usage and the Host Africa yearly cost spread across months, the expected monthly operating range is KSh 5,037.17 to KSh 5,302.37.</w:t>
      </w:r>
    </w:p>
    <w:p w14:paraId="098BDFA8" w14:textId="77777777" w:rsidR="003170A0" w:rsidRDefault="00000000">
      <w:r>
        <w:t>This is cost-effective because one hosted system replaces scattered manual books, Excel workbooks, separate accounting files, disconnected customer records, and informal communication tracking. The main cost that scales with usage is SMS, which can be controlled by limiting alerts to high-value billing and service communication.</w:t>
      </w:r>
    </w:p>
    <w:p w14:paraId="560FF14B" w14:textId="77777777" w:rsidR="003170A0" w:rsidRDefault="00000000" w:rsidP="00272089">
      <w:pPr>
        <w:pStyle w:val="Heading1"/>
        <w:spacing w:before="120" w:line="240" w:lineRule="auto"/>
      </w:pPr>
      <w:r>
        <w:t>Comparison With Previous Operating Method</w:t>
      </w:r>
    </w:p>
    <w:tbl>
      <w:tblPr>
        <w:tblStyle w:val="TableGrid"/>
        <w:tblW w:w="0" w:type="auto"/>
        <w:tblLook w:val="04A0" w:firstRow="1" w:lastRow="0" w:firstColumn="1" w:lastColumn="0" w:noHBand="0" w:noVBand="1"/>
      </w:tblPr>
      <w:tblGrid>
        <w:gridCol w:w="3360"/>
        <w:gridCol w:w="3360"/>
        <w:gridCol w:w="3360"/>
      </w:tblGrid>
      <w:tr w:rsidR="003170A0" w14:paraId="6CB125B9" w14:textId="77777777">
        <w:tc>
          <w:tcPr>
            <w:tcW w:w="3360" w:type="dxa"/>
            <w:shd w:val="clear" w:color="auto" w:fill="D9EAF7"/>
            <w:vAlign w:val="center"/>
          </w:tcPr>
          <w:p w14:paraId="3CA8AC1A" w14:textId="77777777" w:rsidR="003170A0" w:rsidRDefault="00000000">
            <w:pPr>
              <w:spacing w:after="40"/>
            </w:pPr>
            <w:r>
              <w:rPr>
                <w:b/>
              </w:rPr>
              <w:t>Area</w:t>
            </w:r>
          </w:p>
        </w:tc>
        <w:tc>
          <w:tcPr>
            <w:tcW w:w="3360" w:type="dxa"/>
            <w:shd w:val="clear" w:color="auto" w:fill="D9EAF7"/>
            <w:vAlign w:val="center"/>
          </w:tcPr>
          <w:p w14:paraId="2DDF43D4" w14:textId="77777777" w:rsidR="003170A0" w:rsidRDefault="00000000">
            <w:pPr>
              <w:spacing w:after="40"/>
            </w:pPr>
            <w:r>
              <w:rPr>
                <w:b/>
              </w:rPr>
              <w:t>Manual Books, Excel, and QuickBooks</w:t>
            </w:r>
          </w:p>
        </w:tc>
        <w:tc>
          <w:tcPr>
            <w:tcW w:w="3360" w:type="dxa"/>
            <w:shd w:val="clear" w:color="auto" w:fill="D9EAF7"/>
            <w:vAlign w:val="center"/>
          </w:tcPr>
          <w:p w14:paraId="6939E272" w14:textId="5042A886" w:rsidR="003170A0" w:rsidRDefault="00677A79">
            <w:pPr>
              <w:spacing w:after="40"/>
            </w:pPr>
            <w:r>
              <w:rPr>
                <w:b/>
              </w:rPr>
              <w:t>AGUA Traders LTD</w:t>
            </w:r>
          </w:p>
        </w:tc>
      </w:tr>
      <w:tr w:rsidR="003170A0" w14:paraId="2B8287C4" w14:textId="77777777">
        <w:tc>
          <w:tcPr>
            <w:tcW w:w="3360" w:type="dxa"/>
            <w:vAlign w:val="center"/>
          </w:tcPr>
          <w:p w14:paraId="63012324" w14:textId="77777777" w:rsidR="003170A0" w:rsidRDefault="00000000">
            <w:pPr>
              <w:spacing w:after="40"/>
            </w:pPr>
            <w:r>
              <w:t>Customer records</w:t>
            </w:r>
          </w:p>
        </w:tc>
        <w:tc>
          <w:tcPr>
            <w:tcW w:w="3360" w:type="dxa"/>
            <w:vAlign w:val="center"/>
          </w:tcPr>
          <w:p w14:paraId="3DADFC83" w14:textId="77777777" w:rsidR="003170A0" w:rsidRDefault="00000000">
            <w:pPr>
              <w:spacing w:after="40"/>
            </w:pPr>
            <w:r>
              <w:t>Records can be duplicated or inconsistent across files.</w:t>
            </w:r>
          </w:p>
        </w:tc>
        <w:tc>
          <w:tcPr>
            <w:tcW w:w="3360" w:type="dxa"/>
            <w:vAlign w:val="center"/>
          </w:tcPr>
          <w:p w14:paraId="56BCFEA9" w14:textId="77777777" w:rsidR="003170A0" w:rsidRDefault="00000000">
            <w:pPr>
              <w:spacing w:after="40"/>
            </w:pPr>
            <w:r>
              <w:t>Customers, rates, zones, deposits, meters, statements, and portal links are held in one database.</w:t>
            </w:r>
          </w:p>
        </w:tc>
      </w:tr>
      <w:tr w:rsidR="003170A0" w14:paraId="5FD809EF" w14:textId="77777777">
        <w:tc>
          <w:tcPr>
            <w:tcW w:w="3360" w:type="dxa"/>
            <w:vAlign w:val="center"/>
          </w:tcPr>
          <w:p w14:paraId="499F3308" w14:textId="77777777" w:rsidR="003170A0" w:rsidRDefault="00000000">
            <w:pPr>
              <w:spacing w:after="40"/>
            </w:pPr>
            <w:r>
              <w:t>Meter readings</w:t>
            </w:r>
          </w:p>
        </w:tc>
        <w:tc>
          <w:tcPr>
            <w:tcW w:w="3360" w:type="dxa"/>
            <w:vAlign w:val="center"/>
          </w:tcPr>
          <w:p w14:paraId="7B75A906" w14:textId="77777777" w:rsidR="003170A0" w:rsidRDefault="00000000">
            <w:pPr>
              <w:spacing w:after="40"/>
            </w:pPr>
            <w:r>
              <w:t>Readings are captured manually and transferred later.</w:t>
            </w:r>
          </w:p>
        </w:tc>
        <w:tc>
          <w:tcPr>
            <w:tcW w:w="3360" w:type="dxa"/>
            <w:vAlign w:val="center"/>
          </w:tcPr>
          <w:p w14:paraId="6BE23354" w14:textId="77777777" w:rsidR="003170A0" w:rsidRDefault="00000000">
            <w:pPr>
              <w:spacing w:after="40"/>
            </w:pPr>
            <w:r>
              <w:t>Readings are entered directly and feed billing workflows.</w:t>
            </w:r>
          </w:p>
        </w:tc>
      </w:tr>
      <w:tr w:rsidR="003170A0" w14:paraId="542D9072" w14:textId="77777777">
        <w:tc>
          <w:tcPr>
            <w:tcW w:w="3360" w:type="dxa"/>
            <w:vAlign w:val="center"/>
          </w:tcPr>
          <w:p w14:paraId="7E020FBB" w14:textId="77777777" w:rsidR="003170A0" w:rsidRDefault="00000000">
            <w:pPr>
              <w:spacing w:after="40"/>
            </w:pPr>
            <w:r>
              <w:t>Billing</w:t>
            </w:r>
          </w:p>
        </w:tc>
        <w:tc>
          <w:tcPr>
            <w:tcW w:w="3360" w:type="dxa"/>
            <w:vAlign w:val="center"/>
          </w:tcPr>
          <w:p w14:paraId="30226714" w14:textId="77777777" w:rsidR="003170A0" w:rsidRDefault="00000000">
            <w:pPr>
              <w:spacing w:after="40"/>
            </w:pPr>
            <w:r>
              <w:t>Bills depend on manual calculations or workbook formulas.</w:t>
            </w:r>
          </w:p>
        </w:tc>
        <w:tc>
          <w:tcPr>
            <w:tcW w:w="3360" w:type="dxa"/>
            <w:vAlign w:val="center"/>
          </w:tcPr>
          <w:p w14:paraId="32D944B5" w14:textId="77777777" w:rsidR="003170A0" w:rsidRDefault="00000000">
            <w:pPr>
              <w:spacing w:after="40"/>
            </w:pPr>
            <w:r>
              <w:t>Bills are generated from rates, readings, periods, penalties, waivers, and review workflows.</w:t>
            </w:r>
          </w:p>
        </w:tc>
      </w:tr>
      <w:tr w:rsidR="003170A0" w14:paraId="670FED40" w14:textId="77777777">
        <w:tc>
          <w:tcPr>
            <w:tcW w:w="3360" w:type="dxa"/>
            <w:vAlign w:val="center"/>
          </w:tcPr>
          <w:p w14:paraId="730B4432" w14:textId="77777777" w:rsidR="003170A0" w:rsidRDefault="00000000">
            <w:pPr>
              <w:spacing w:after="40"/>
            </w:pPr>
            <w:r>
              <w:t>Payments</w:t>
            </w:r>
          </w:p>
        </w:tc>
        <w:tc>
          <w:tcPr>
            <w:tcW w:w="3360" w:type="dxa"/>
            <w:vAlign w:val="center"/>
          </w:tcPr>
          <w:p w14:paraId="124429C1" w14:textId="77777777" w:rsidR="003170A0" w:rsidRDefault="00000000">
            <w:pPr>
              <w:spacing w:after="40"/>
            </w:pPr>
            <w:r>
              <w:t>Collections require manual reconciliation against bills.</w:t>
            </w:r>
          </w:p>
        </w:tc>
        <w:tc>
          <w:tcPr>
            <w:tcW w:w="3360" w:type="dxa"/>
            <w:vAlign w:val="center"/>
          </w:tcPr>
          <w:p w14:paraId="5C0280B1" w14:textId="77777777" w:rsidR="003170A0" w:rsidRDefault="00000000">
            <w:pPr>
              <w:spacing w:after="40"/>
            </w:pPr>
            <w:r>
              <w:t>Payments allocate to unpaid bills and update balances automatically.</w:t>
            </w:r>
          </w:p>
        </w:tc>
      </w:tr>
      <w:tr w:rsidR="003170A0" w14:paraId="25EC01AA" w14:textId="77777777">
        <w:tc>
          <w:tcPr>
            <w:tcW w:w="3360" w:type="dxa"/>
            <w:vAlign w:val="center"/>
          </w:tcPr>
          <w:p w14:paraId="690DA01E" w14:textId="77777777" w:rsidR="003170A0" w:rsidRDefault="00000000">
            <w:pPr>
              <w:spacing w:after="40"/>
            </w:pPr>
            <w:r>
              <w:t>Expenses</w:t>
            </w:r>
          </w:p>
        </w:tc>
        <w:tc>
          <w:tcPr>
            <w:tcW w:w="3360" w:type="dxa"/>
            <w:vAlign w:val="center"/>
          </w:tcPr>
          <w:p w14:paraId="4AC48001" w14:textId="77777777" w:rsidR="003170A0" w:rsidRDefault="00000000">
            <w:pPr>
              <w:spacing w:after="40"/>
            </w:pPr>
            <w:r>
              <w:t>Expenses can exist without operational context.</w:t>
            </w:r>
          </w:p>
        </w:tc>
        <w:tc>
          <w:tcPr>
            <w:tcW w:w="3360" w:type="dxa"/>
            <w:vAlign w:val="center"/>
          </w:tcPr>
          <w:p w14:paraId="6F6F8FC9" w14:textId="77777777" w:rsidR="003170A0" w:rsidRDefault="00000000">
            <w:pPr>
              <w:spacing w:after="40"/>
            </w:pPr>
            <w:r>
              <w:t>Expenses can link to maintenance, production, payroll, contractor invoices, and categories.</w:t>
            </w:r>
          </w:p>
        </w:tc>
      </w:tr>
      <w:tr w:rsidR="003170A0" w14:paraId="1AC2D218" w14:textId="77777777">
        <w:tc>
          <w:tcPr>
            <w:tcW w:w="3360" w:type="dxa"/>
            <w:vAlign w:val="center"/>
          </w:tcPr>
          <w:p w14:paraId="6A08A31C" w14:textId="77777777" w:rsidR="003170A0" w:rsidRDefault="00000000">
            <w:pPr>
              <w:spacing w:after="40"/>
            </w:pPr>
            <w:r>
              <w:t>Reports</w:t>
            </w:r>
          </w:p>
        </w:tc>
        <w:tc>
          <w:tcPr>
            <w:tcW w:w="3360" w:type="dxa"/>
            <w:vAlign w:val="center"/>
          </w:tcPr>
          <w:p w14:paraId="68664688" w14:textId="77777777" w:rsidR="003170A0" w:rsidRDefault="00000000">
            <w:pPr>
              <w:spacing w:after="40"/>
            </w:pPr>
            <w:r>
              <w:t>Reports depend on spreadsheet cleanliness and manual consolidation.</w:t>
            </w:r>
          </w:p>
        </w:tc>
        <w:tc>
          <w:tcPr>
            <w:tcW w:w="3360" w:type="dxa"/>
            <w:vAlign w:val="center"/>
          </w:tcPr>
          <w:p w14:paraId="36ACB5AF" w14:textId="77777777" w:rsidR="003170A0" w:rsidRDefault="00000000">
            <w:pPr>
              <w:spacing w:after="40"/>
            </w:pPr>
            <w:r>
              <w:t>Reports are generated from live operational and financial records.</w:t>
            </w:r>
          </w:p>
        </w:tc>
      </w:tr>
      <w:tr w:rsidR="003170A0" w14:paraId="41A04ACC" w14:textId="77777777">
        <w:tc>
          <w:tcPr>
            <w:tcW w:w="3360" w:type="dxa"/>
            <w:vAlign w:val="center"/>
          </w:tcPr>
          <w:p w14:paraId="3F029C30" w14:textId="77777777" w:rsidR="003170A0" w:rsidRDefault="00000000">
            <w:pPr>
              <w:spacing w:after="40"/>
            </w:pPr>
            <w:r>
              <w:t>Controls</w:t>
            </w:r>
          </w:p>
        </w:tc>
        <w:tc>
          <w:tcPr>
            <w:tcW w:w="3360" w:type="dxa"/>
            <w:vAlign w:val="center"/>
          </w:tcPr>
          <w:p w14:paraId="622EC37D" w14:textId="77777777" w:rsidR="003170A0" w:rsidRDefault="00000000">
            <w:pPr>
              <w:spacing w:after="40"/>
            </w:pPr>
            <w:r>
              <w:t>Shared files are difficult to restrict.</w:t>
            </w:r>
          </w:p>
        </w:tc>
        <w:tc>
          <w:tcPr>
            <w:tcW w:w="3360" w:type="dxa"/>
            <w:vAlign w:val="center"/>
          </w:tcPr>
          <w:p w14:paraId="370E7B63" w14:textId="77777777" w:rsidR="003170A0" w:rsidRDefault="00000000">
            <w:pPr>
              <w:spacing w:after="40"/>
            </w:pPr>
            <w:r>
              <w:t>Role-based permissions separate admin, accountant, meter reader, customer, and business viewer access.</w:t>
            </w:r>
          </w:p>
        </w:tc>
      </w:tr>
      <w:tr w:rsidR="003170A0" w14:paraId="6165F75B" w14:textId="77777777">
        <w:tc>
          <w:tcPr>
            <w:tcW w:w="3360" w:type="dxa"/>
            <w:vAlign w:val="center"/>
          </w:tcPr>
          <w:p w14:paraId="3D62590A" w14:textId="77777777" w:rsidR="003170A0" w:rsidRDefault="00000000">
            <w:pPr>
              <w:spacing w:after="40"/>
            </w:pPr>
            <w:r>
              <w:t>Auditability</w:t>
            </w:r>
          </w:p>
        </w:tc>
        <w:tc>
          <w:tcPr>
            <w:tcW w:w="3360" w:type="dxa"/>
            <w:vAlign w:val="center"/>
          </w:tcPr>
          <w:p w14:paraId="00FEA1D0" w14:textId="77777777" w:rsidR="003170A0" w:rsidRDefault="00000000">
            <w:pPr>
              <w:spacing w:after="40"/>
            </w:pPr>
            <w:r>
              <w:t>Manual edits and spreadsheet changes are hard to trace.</w:t>
            </w:r>
          </w:p>
        </w:tc>
        <w:tc>
          <w:tcPr>
            <w:tcW w:w="3360" w:type="dxa"/>
            <w:vAlign w:val="center"/>
          </w:tcPr>
          <w:p w14:paraId="43925F7C" w14:textId="77777777" w:rsidR="003170A0" w:rsidRDefault="00000000">
            <w:pPr>
              <w:spacing w:after="40"/>
            </w:pPr>
            <w:r>
              <w:t>Key actions are logged with user, time, entity, and reason where applicable.</w:t>
            </w:r>
          </w:p>
        </w:tc>
      </w:tr>
      <w:tr w:rsidR="003170A0" w14:paraId="7B3A7721" w14:textId="77777777">
        <w:tc>
          <w:tcPr>
            <w:tcW w:w="3360" w:type="dxa"/>
            <w:vAlign w:val="center"/>
          </w:tcPr>
          <w:p w14:paraId="1FCF452A" w14:textId="77777777" w:rsidR="003170A0" w:rsidRDefault="00000000">
            <w:pPr>
              <w:spacing w:after="40"/>
            </w:pPr>
            <w:r>
              <w:t>Continuity</w:t>
            </w:r>
          </w:p>
        </w:tc>
        <w:tc>
          <w:tcPr>
            <w:tcW w:w="3360" w:type="dxa"/>
            <w:vAlign w:val="center"/>
          </w:tcPr>
          <w:p w14:paraId="6D9D0D55" w14:textId="77777777" w:rsidR="003170A0" w:rsidRDefault="00000000">
            <w:pPr>
              <w:spacing w:after="40"/>
            </w:pPr>
            <w:r>
              <w:t>Knowledge may remain with one staff member or developer.</w:t>
            </w:r>
          </w:p>
        </w:tc>
        <w:tc>
          <w:tcPr>
            <w:tcW w:w="3360" w:type="dxa"/>
            <w:vAlign w:val="center"/>
          </w:tcPr>
          <w:p w14:paraId="3D15751C" w14:textId="77777777" w:rsidR="003170A0" w:rsidRDefault="00000000">
            <w:pPr>
              <w:spacing w:after="40"/>
            </w:pPr>
            <w:r>
              <w:t>Docs, migrations, backups, restore drills, and handover procedures support continuity.</w:t>
            </w:r>
          </w:p>
        </w:tc>
      </w:tr>
    </w:tbl>
    <w:p w14:paraId="0CF92387" w14:textId="77777777" w:rsidR="003170A0" w:rsidRDefault="00000000" w:rsidP="00272089">
      <w:pPr>
        <w:pStyle w:val="Heading1"/>
        <w:spacing w:before="120" w:line="240" w:lineRule="auto"/>
      </w:pPr>
      <w:r>
        <w:lastRenderedPageBreak/>
        <w:t>Cost Controls</w:t>
      </w:r>
    </w:p>
    <w:p w14:paraId="4CD4B34E" w14:textId="77777777" w:rsidR="003170A0" w:rsidRDefault="00000000">
      <w:pPr>
        <w:pStyle w:val="ListBullet"/>
      </w:pPr>
      <w:r>
        <w:t>Use email for non-urgent messages where possible.</w:t>
      </w:r>
    </w:p>
    <w:p w14:paraId="16EF9932" w14:textId="77777777" w:rsidR="003170A0" w:rsidRDefault="00000000">
      <w:pPr>
        <w:pStyle w:val="ListBullet"/>
      </w:pPr>
      <w:r>
        <w:t>Use SMS only for high-value alerts such as bills, overdue balances, service notices, and critical reminders.</w:t>
      </w:r>
    </w:p>
    <w:p w14:paraId="00D4CF30" w14:textId="77777777" w:rsidR="003170A0" w:rsidRDefault="00000000">
      <w:pPr>
        <w:pStyle w:val="ListBullet"/>
      </w:pPr>
      <w:r>
        <w:t>Keep SMS alerts limited so usage remains near 100 to 300 SMS per month.</w:t>
      </w:r>
    </w:p>
    <w:p w14:paraId="7F1D0481" w14:textId="77777777" w:rsidR="003170A0" w:rsidRDefault="00000000">
      <w:pPr>
        <w:pStyle w:val="ListBullet"/>
      </w:pPr>
      <w:r>
        <w:t>Monitor monthly SMS volume.</w:t>
      </w:r>
    </w:p>
    <w:p w14:paraId="1742BF2E" w14:textId="77777777" w:rsidR="003170A0" w:rsidRDefault="00000000">
      <w:pPr>
        <w:pStyle w:val="ListBullet"/>
      </w:pPr>
      <w:r>
        <w:t>Review Vercel and Neon usage monthly during the first three months after launch.</w:t>
      </w:r>
    </w:p>
    <w:p w14:paraId="76ACFF88" w14:textId="77777777" w:rsidR="003170A0" w:rsidRDefault="00000000">
      <w:pPr>
        <w:pStyle w:val="ListBullet"/>
      </w:pPr>
      <w:r>
        <w:t>Keep backups and restore drills documented so hosting cost also supports resilience.</w:t>
      </w:r>
    </w:p>
    <w:p w14:paraId="65D3EA9B" w14:textId="77777777" w:rsidR="003170A0" w:rsidRDefault="00000000" w:rsidP="00272089">
      <w:pPr>
        <w:pStyle w:val="Heading1"/>
        <w:spacing w:before="120" w:line="240" w:lineRule="auto"/>
      </w:pPr>
      <w:r>
        <w:t>Data Protection Measures</w:t>
      </w:r>
    </w:p>
    <w:p w14:paraId="0DDC3339" w14:textId="77777777" w:rsidR="003170A0" w:rsidRDefault="00000000">
      <w:pPr>
        <w:pStyle w:val="ListBullet"/>
      </w:pPr>
      <w:r>
        <w:t>Role-based access restricts users to the modules needed for their work.</w:t>
      </w:r>
    </w:p>
    <w:p w14:paraId="53A5CF4C" w14:textId="77777777" w:rsidR="003170A0" w:rsidRDefault="00000000">
      <w:pPr>
        <w:pStyle w:val="ListBullet"/>
      </w:pPr>
      <w:r>
        <w:t>Customer portal access is scoped to linked customer records only.</w:t>
      </w:r>
    </w:p>
    <w:p w14:paraId="1B0E7C4A" w14:textId="77777777" w:rsidR="003170A0" w:rsidRDefault="00000000">
      <w:pPr>
        <w:pStyle w:val="ListBullet"/>
      </w:pPr>
      <w:r>
        <w:t>Business viewer access provides read-only oversight without edit rights.</w:t>
      </w:r>
    </w:p>
    <w:p w14:paraId="15C2E905" w14:textId="77777777" w:rsidR="003170A0" w:rsidRDefault="00000000">
      <w:pPr>
        <w:pStyle w:val="ListBullet"/>
      </w:pPr>
      <w:r>
        <w:t>Audit trails record important changes with user, action, time, entity, and reason where applicable.</w:t>
      </w:r>
    </w:p>
    <w:p w14:paraId="717218E4" w14:textId="77777777" w:rsidR="003170A0" w:rsidRDefault="00000000">
      <w:pPr>
        <w:pStyle w:val="ListBullet"/>
      </w:pPr>
      <w:r>
        <w:t>Production traffic should run through HTTPS/TLS endpoints.</w:t>
      </w:r>
    </w:p>
    <w:p w14:paraId="4131C5E2" w14:textId="77777777" w:rsidR="003170A0" w:rsidRDefault="00000000">
      <w:pPr>
        <w:pStyle w:val="ListBullet"/>
      </w:pPr>
      <w:r>
        <w:t>Secrets such as database URLs, JWT secrets, cron secrets, and provider credentials are stored as environment variables, not in source code.</w:t>
      </w:r>
    </w:p>
    <w:p w14:paraId="2D814E0A" w14:textId="77777777" w:rsidR="003170A0" w:rsidRDefault="00000000">
      <w:pPr>
        <w:pStyle w:val="ListBullet"/>
      </w:pPr>
      <w:r>
        <w:t>Neon should be configured with backups and recovery options appropriate for production.</w:t>
      </w:r>
    </w:p>
    <w:p w14:paraId="549B8E6D" w14:textId="77777777" w:rsidR="003170A0" w:rsidRDefault="00000000">
      <w:pPr>
        <w:pStyle w:val="ListBullet"/>
      </w:pPr>
      <w:r>
        <w:t>Application-level backups should be taken and retained according to the backup policy.</w:t>
      </w:r>
    </w:p>
    <w:p w14:paraId="6EB3DFA9" w14:textId="77777777" w:rsidR="003170A0" w:rsidRDefault="00000000">
      <w:pPr>
        <w:pStyle w:val="ListBullet"/>
      </w:pPr>
      <w:r>
        <w:t>Restore drills should be practiced and recorded at least quarterly.</w:t>
      </w:r>
    </w:p>
    <w:p w14:paraId="05983E19" w14:textId="77777777" w:rsidR="003170A0" w:rsidRDefault="00000000">
      <w:pPr>
        <w:pStyle w:val="ListBullet"/>
      </w:pPr>
      <w:r>
        <w:t>Monitoring, public status checks, internal logs, and alerts help detect outages or application errors early.</w:t>
      </w:r>
    </w:p>
    <w:p w14:paraId="3C93078B" w14:textId="77777777" w:rsidR="003170A0" w:rsidRDefault="00000000">
      <w:pPr>
        <w:pStyle w:val="ListBullet"/>
      </w:pPr>
      <w:r>
        <w:t>Developer access follows least privilege and is removed after handover.</w:t>
      </w:r>
    </w:p>
    <w:p w14:paraId="6F953DC1" w14:textId="77777777" w:rsidR="003170A0" w:rsidRDefault="00000000">
      <w:pPr>
        <w:pStyle w:val="ListBullet"/>
      </w:pPr>
      <w:r>
        <w:t>Project documentation remains the operating memory for deployment, schema, API, workflows, and SOPs.</w:t>
      </w:r>
    </w:p>
    <w:p w14:paraId="4B6F0249" w14:textId="77777777" w:rsidR="003170A0" w:rsidRDefault="00000000" w:rsidP="00272089">
      <w:pPr>
        <w:pStyle w:val="Heading1"/>
        <w:spacing w:before="120" w:line="240" w:lineRule="auto"/>
      </w:pPr>
      <w:r>
        <w:t>Developer Handover Measures</w:t>
      </w:r>
    </w:p>
    <w:p w14:paraId="7CB77705" w14:textId="77777777" w:rsidR="003170A0" w:rsidRDefault="00000000">
      <w:pPr>
        <w:pStyle w:val="ListBullet"/>
      </w:pPr>
      <w:r>
        <w:t>Keep the GitHub repository under the business owner account or organization.</w:t>
      </w:r>
    </w:p>
    <w:p w14:paraId="255DE61E" w14:textId="77777777" w:rsidR="003170A0" w:rsidRDefault="00000000">
      <w:pPr>
        <w:pStyle w:val="ListBullet"/>
      </w:pPr>
      <w:r>
        <w:t>Require code changes to go through branches, pull requests, or documented commits.</w:t>
      </w:r>
    </w:p>
    <w:p w14:paraId="1E51C493" w14:textId="77777777" w:rsidR="003170A0" w:rsidRDefault="00000000">
      <w:pPr>
        <w:pStyle w:val="ListBullet"/>
      </w:pPr>
      <w:r>
        <w:t>Maintain the docs folder as the source of truth for architecture, deployment, backup/recovery, API endpoints, schema, tests, and user workflows.</w:t>
      </w:r>
    </w:p>
    <w:p w14:paraId="41EEED4E" w14:textId="77777777" w:rsidR="003170A0" w:rsidRDefault="00000000">
      <w:pPr>
        <w:pStyle w:val="ListBullet"/>
      </w:pPr>
      <w:r>
        <w:t>Keep a current environment variable inventory without exposing secret values.</w:t>
      </w:r>
    </w:p>
    <w:p w14:paraId="0612A221" w14:textId="77777777" w:rsidR="003170A0" w:rsidRDefault="00000000">
      <w:pPr>
        <w:pStyle w:val="ListBullet"/>
      </w:pPr>
      <w:r>
        <w:t>Rotate sensitive credentials during developer exit, including GitHub, Vercel, Neon, Twilio, Gmail/app passwords, JWT secrets, cron secrets, and database credentials where practical.</w:t>
      </w:r>
    </w:p>
    <w:p w14:paraId="13E288D5" w14:textId="77777777" w:rsidR="003170A0" w:rsidRDefault="00000000">
      <w:pPr>
        <w:pStyle w:val="ListBullet"/>
      </w:pPr>
      <w:r>
        <w:t>Use role-based platform access on Vercel, Neon, Twilio, and GitHub.</w:t>
      </w:r>
    </w:p>
    <w:p w14:paraId="74A819BC" w14:textId="77777777" w:rsidR="003170A0" w:rsidRDefault="00000000">
      <w:pPr>
        <w:pStyle w:val="ListBullet"/>
      </w:pPr>
      <w:r>
        <w:t>Keep database migrations in source control and apply them through the migration runner.</w:t>
      </w:r>
    </w:p>
    <w:p w14:paraId="6FF030A3" w14:textId="77777777" w:rsidR="003170A0" w:rsidRDefault="00000000">
      <w:pPr>
        <w:pStyle w:val="ListBullet"/>
      </w:pPr>
      <w:r>
        <w:t>Record production deployments, migration dates, and backup/restore drill results.</w:t>
      </w:r>
    </w:p>
    <w:p w14:paraId="6C86DA6B" w14:textId="77777777" w:rsidR="003170A0" w:rsidRDefault="00000000">
      <w:pPr>
        <w:pStyle w:val="ListBullet"/>
      </w:pPr>
      <w:r>
        <w:t>Maintain an admin account controlled by the business owner.</w:t>
      </w:r>
    </w:p>
    <w:p w14:paraId="0C7628CB" w14:textId="77777777" w:rsidR="003170A0" w:rsidRDefault="00000000">
      <w:pPr>
        <w:pStyle w:val="ListBullet"/>
      </w:pPr>
      <w:r>
        <w:t>Use a handover checklist covering current branch, pending work, known issues, deployment status, database status, provider accounts, and test results.</w:t>
      </w:r>
    </w:p>
    <w:p w14:paraId="2C07B935" w14:textId="77777777" w:rsidR="003170A0" w:rsidRDefault="00000000">
      <w:pPr>
        <w:pStyle w:val="ListBullet"/>
      </w:pPr>
      <w:r>
        <w:t>Remove outgoing developer accounts after handover is complete.</w:t>
      </w:r>
    </w:p>
    <w:p w14:paraId="3F58E857" w14:textId="77777777" w:rsidR="003170A0" w:rsidRDefault="00000000" w:rsidP="00272089">
      <w:pPr>
        <w:pStyle w:val="Heading1"/>
        <w:spacing w:before="120" w:line="240" w:lineRule="auto"/>
      </w:pPr>
      <w:r>
        <w:t>Items To Confirm Later</w:t>
      </w:r>
    </w:p>
    <w:p w14:paraId="50D63363" w14:textId="77777777" w:rsidR="003170A0" w:rsidRDefault="00000000">
      <w:pPr>
        <w:pStyle w:val="ListBullet"/>
      </w:pPr>
      <w:r>
        <w:t>Whether Google Workspace branded email should be budgeted in a future upgrade phase.</w:t>
      </w:r>
    </w:p>
    <w:p w14:paraId="447E3861" w14:textId="77777777" w:rsidR="003170A0" w:rsidRDefault="00000000">
      <w:pPr>
        <w:pStyle w:val="ListBullet"/>
      </w:pPr>
      <w:r>
        <w:t>Whether SMS should remain limited to billing and service-critical communication after launch.</w:t>
      </w:r>
    </w:p>
    <w:p w14:paraId="3945ABCB" w14:textId="77777777" w:rsidR="003170A0" w:rsidRDefault="00000000">
      <w:pPr>
        <w:pStyle w:val="ListBullet"/>
      </w:pPr>
      <w:r>
        <w:t>Whether the hosting plans remain sufficient after real usage data is reviewed during the first three months.</w:t>
      </w:r>
    </w:p>
    <w:sectPr w:rsidR="003170A0" w:rsidSect="00272089">
      <w:footerReference w:type="default" r:id="rId8"/>
      <w:pgSz w:w="12240" w:h="15840"/>
      <w:pgMar w:top="810"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8730B" w14:textId="77777777" w:rsidR="00C42E11" w:rsidRDefault="00C42E11">
      <w:pPr>
        <w:spacing w:after="0" w:line="240" w:lineRule="auto"/>
      </w:pPr>
      <w:r>
        <w:separator/>
      </w:r>
    </w:p>
  </w:endnote>
  <w:endnote w:type="continuationSeparator" w:id="0">
    <w:p w14:paraId="7CFA5178" w14:textId="77777777" w:rsidR="00C42E11" w:rsidRDefault="00C42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E2B7" w14:textId="6DC30739" w:rsidR="003170A0" w:rsidRDefault="00677A79">
    <w:pPr>
      <w:pStyle w:val="Footer"/>
      <w:jc w:val="center"/>
    </w:pPr>
    <w:r>
      <w:t>AGUA Traders LTD</w:t>
    </w:r>
    <w:r w:rsidR="00000000">
      <w:t xml:space="preserve"> - Executive Finance and Hosting Costs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D995A" w14:textId="77777777" w:rsidR="00C42E11" w:rsidRDefault="00C42E11">
      <w:pPr>
        <w:spacing w:after="0" w:line="240" w:lineRule="auto"/>
      </w:pPr>
      <w:r>
        <w:separator/>
      </w:r>
    </w:p>
  </w:footnote>
  <w:footnote w:type="continuationSeparator" w:id="0">
    <w:p w14:paraId="39C991FE" w14:textId="77777777" w:rsidR="00C42E11" w:rsidRDefault="00C42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6265183">
    <w:abstractNumId w:val="8"/>
  </w:num>
  <w:num w:numId="2" w16cid:durableId="1669206717">
    <w:abstractNumId w:val="6"/>
  </w:num>
  <w:num w:numId="3" w16cid:durableId="1358041819">
    <w:abstractNumId w:val="5"/>
  </w:num>
  <w:num w:numId="4" w16cid:durableId="1176772062">
    <w:abstractNumId w:val="4"/>
  </w:num>
  <w:num w:numId="5" w16cid:durableId="450831177">
    <w:abstractNumId w:val="7"/>
  </w:num>
  <w:num w:numId="6" w16cid:durableId="1869873781">
    <w:abstractNumId w:val="3"/>
  </w:num>
  <w:num w:numId="7" w16cid:durableId="445736804">
    <w:abstractNumId w:val="2"/>
  </w:num>
  <w:num w:numId="8" w16cid:durableId="1125007206">
    <w:abstractNumId w:val="1"/>
  </w:num>
  <w:num w:numId="9" w16cid:durableId="1055590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089"/>
    <w:rsid w:val="0029639D"/>
    <w:rsid w:val="003170A0"/>
    <w:rsid w:val="00326F90"/>
    <w:rsid w:val="005107C8"/>
    <w:rsid w:val="00677A79"/>
    <w:rsid w:val="00AA1D8D"/>
    <w:rsid w:val="00B47730"/>
    <w:rsid w:val="00BC59AB"/>
    <w:rsid w:val="00C42E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C3BC4"/>
  <w14:defaultImageDpi w14:val="300"/>
  <w15:docId w15:val="{22C87CC4-4252-432F-B382-56F63E1D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Mwangi</cp:lastModifiedBy>
  <cp:revision>2</cp:revision>
  <dcterms:created xsi:type="dcterms:W3CDTF">2013-12-23T23:15:00Z</dcterms:created>
  <dcterms:modified xsi:type="dcterms:W3CDTF">2026-08-12T11:43:00Z</dcterms:modified>
  <cp:category/>
</cp:coreProperties>
</file>