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Bdr>
          <w:bottom w:val="single" w:sz="8" w:space="8" w:color="8AA0C8"/>
        </w:pBdr>
      </w:pPr>
      <w:r>
        <w:rPr>
          <w:sz w:val="40"/>
        </w:rPr>
        <w:t>DATA SHARING AGREEMENT</w:t>
      </w:r>
    </w:p>
    <w:p>
      <w:r>
        <w:rPr/>
        <w:t>Dated: the date of the last signature below.</w:t>
      </w:r>
    </w:p>
    <w:p>
      <w:pPr>
        <w:pStyle w:val="Heading2"/>
      </w:pPr>
      <w:r>
        <w:rPr/>
        <w:t>PARTIES</w:t>
      </w:r>
    </w:p>
    <w:p>
      <w:r>
        <w:rPr/>
        <w:t>(1) ASHFIELD TRADING LIMITED (company number 16358723), whose registered office is at 20 Ashfield Avenue, Shipley, BD18 3AL (the "Supplier"); and</w:t>
      </w:r>
    </w:p>
    <w:p>
      <w:r>
        <w:rPr/>
        <w:t>(2) the recipient firm or practitioner identified in the Recipient column of the details table, and signing in the signature block, at the end of this agreement (the "Recipient"). The Recipient column must be completed in full on or before signature; until it is completed, no agreement is formed,</w:t>
      </w:r>
    </w:p>
    <w:p>
      <w:r>
        <w:rPr/>
        <w:t>each a "party" and together the "parties".</w:t>
      </w:r>
    </w:p>
    <w:p>
      <w:pPr>
        <w:pStyle w:val="Heading2"/>
      </w:pPr>
      <w:r>
        <w:rPr/>
        <w:t>BACKGROUND</w:t>
      </w:r>
    </w:p>
    <w:p>
      <w:r>
        <w:rPr/>
        <w:t>(A) The Supplier operates a portfolio of specialist enquiry websites, each under its own trading name, through which people seeking specialist professional advice submit enquiries (each a "Site" and together the "Sites"). The Sites covered by this agreement are those identified in the Supplier's Details Block.</w:t>
      </w:r>
    </w:p>
    <w:p>
      <w:r>
        <w:rPr/>
        <w:t>(B) The Supplier Refers enquiries to specialist regulated and professionally qualified firms in its partner network, including accountancy and tax firms and firms in adjacent regulated professions. The same enquiry may be Referred to more than one firm, within the limits in clause 3.2. This agreement governs the sharing of the Personal Data contained in a Referred enquiry, between the Supplier and the Recipient as independent Controllers. It does not set the commercial terms of the referral, which the parties agree separately in writing.</w:t>
      </w:r>
    </w:p>
    <w:p>
      <w:r>
        <w:rPr/>
        <w:t>(C) The Supplier collects each enquiry as a Controller. On a Referral the Recipient becomes an independent Controller and decides for itself whether and how to respond to and advise the enquirer. The parties share the data as independent Controllers; neither is the other's Processor and this is not an Article 28 contract.</w:t>
      </w:r>
    </w:p>
    <w:p>
      <w:r>
        <w:rPr/>
        <w:t>(D) This agreement governs data protection only. The commercial terms of the referral arrangement are agreed separately in writing and form no part of this agreement.</w:t>
      </w:r>
    </w:p>
    <w:p>
      <w:r>
        <w:rPr/>
        <w:t>(E) The international data transfer agreement at Schedule 1 (in the form issued by the Information Commissioner) forms part of this agreement and governs access to the Shared Data from outside the United Kingdom.</w:t>
      </w:r>
    </w:p>
    <w:p>
      <w:r>
        <w:rPr/>
        <w:t>IT IS AGREED as follows.</w:t>
      </w:r>
    </w:p>
    <w:p>
      <w:pPr>
        <w:pStyle w:val="Heading2"/>
      </w:pPr>
      <w:r>
        <w:rPr/>
        <w:t>1. DEFINITIONS</w:t>
      </w:r>
    </w:p>
    <w:p>
      <w:r>
        <w:rPr/>
        <w:t>1.1 In this agreement:</w:t>
      </w:r>
    </w:p>
    <w:p>
      <w:r>
        <w:rPr/>
        <w:t>"Commissioner" means the Information Commission established under the Data (Use and Access) Act 2025 (and, before its establishment, the Information Commissioner), and any successor regulator, and references to the Commissioner are construed accordingly.</w:t>
      </w:r>
    </w:p>
    <w:p>
      <w:r>
        <w:rPr/>
        <w:t>"Data Protection Legislation" means the UK GDPR, the Data Protection Act 2018 (as amended by the Data (Use and Access) Act 2025), and the Privacy and Electronic Communications (EC Directive) Regulations 2003 ("PECR"), in each case as amended or replaced from time to time. "Controller", "Processor", "Personal Data", "Personal Data Breach", "process" and related terms have the meanings given in the Data Protection Legislation.</w:t>
      </w:r>
    </w:p>
    <w:p>
      <w:r>
        <w:rPr/>
        <w:t>"Details Block" means a party's completed column of the details table in the signature section of this agreement.</w:t>
      </w:r>
    </w:p>
    <w:p>
      <w:r>
        <w:rPr/>
        <w:t>"Nominated Address" means the address or secure endpoint the Recipient states in its Details Block for receiving Referrals.</w:t>
      </w:r>
    </w:p>
    <w:p>
      <w:r>
        <w:rPr/>
        <w:t>"Alert" means the description of an enquiry which the Supplier offers to firms in its network before any Referral. An Alert includes the enquiry in the enquirer's own words, from which the Supplier has removed names, telephone numbers, email addresses, postcodes, web addresses and company names, so that the enquirer cannot be identified from it. It does not include the enquirer's contact details or the unredacted enquiry.</w:t>
      </w:r>
    </w:p>
    <w:p>
      <w:r>
        <w:rPr/>
        <w:t>"Bulk Supply" means the Supplier's disclosure to the Recipient of a batch of unverified enquiries as a whole, without an Alert and without the Recipient accepting any individual enquiry in it. Bulk Supply is not a Referral, and clause 3.6 applies to it.</w:t>
      </w:r>
    </w:p>
    <w:p>
      <w:r>
        <w:rPr/>
        <w:t>"Permitted Purpose" means (a) enabling the Recipient, as a specialist firm, to receive and respond to the enquirer's enquiry and to provide the information or advice requested; and (b) the Supplier operating and administering its specialist partner network, including Referring the same enquiry to other firms in the network, and Referring an unclaimed or declined enquiry to another firm or another profession in the network, in each case for the purpose in (a).</w:t>
      </w:r>
    </w:p>
    <w:p>
      <w:r>
        <w:rPr/>
        <w:t>"Referral" means the Supplier's disclosure of the Shared Data to the Nominated Address, and "Refer" and "Referred" are construed accordingly. A Referral is made only after the Recipient has accepted the enquiry concerned. The same enquiry may be Referred to more than one firm, each Referral being a separate disclosure to that firm; the Recipient is not told which other firms, if any, have received it. How enquiries are offered and accepted, and what the Recipient pays, are commercial matters agreed separately in writing and form no part of this agreement.</w:t>
      </w:r>
    </w:p>
    <w:p>
      <w:r>
        <w:rPr/>
        <w:t>"Shared Data" means the Personal Data the Supplier discloses to the Recipient on a Referral or by Bulk Supply, limited to the fields specified in Annex A. It is ordinary Personal Data only.</w:t>
      </w:r>
    </w:p>
    <w:p>
      <w:r>
        <w:rPr/>
        <w:t>"Working Day" means a day other than a Saturday, Sunday or bank holiday in England.</w:t>
      </w:r>
    </w:p>
    <w:p>
      <w:r>
        <w:rPr/>
        <w:t>1.2 Clause headings are for convenience only. References to legislation include any amendment or replacement.</w:t>
      </w:r>
    </w:p>
    <w:p>
      <w:pPr>
        <w:pStyle w:val="Heading2"/>
      </w:pPr>
      <w:r>
        <w:rPr/>
        <w:t>2. STATUS AND PURPOSE</w:t>
      </w:r>
    </w:p>
    <w:p>
      <w:r>
        <w:rPr/>
        <w:t>2.1 The parties share the Shared Data as separate and independent Controllers, each responsible for its own compliance with the Data Protection Legislation and each having regard to the Commissioner's codes and guidance. The parties are not joint controllers within Article 26 of the UK GDPR; each determines the purposes and means of its own processing of the Shared Data separately. The Recipient decides independently whether and how to respond to and advise each enquirer. Neither party is the other's Processor and this is not an Article 28 contract.</w:t>
      </w:r>
    </w:p>
    <w:p>
      <w:r>
        <w:rPr/>
        <w:t>2.2 Each party will process the Shared Data only for the Permitted Purpose or a compatible purpose. Neither party will take a decision based solely on automated processing that has legal or similarly significant effects on an enquirer, except in compliance with the UK GDPR.</w:t>
      </w:r>
    </w:p>
    <w:p>
      <w:r>
        <w:rPr/>
        <w:t>2.3 Processing locations. The Supplier processes enquiry data in the United Kingdom and the European Economic Area, and uses Processors which may process it outside the UK, being: hosting and database services; transactional email and SMS delivery; an artificial-intelligence service used to produce the case-type grading and the one-line intent summary; and a public-register lookup service. Where any of that involves a restricted transfer, the Supplier has a valid transfer mechanism under Articles 44 to 49 of the UK GDPR in place, and will provide details to the Recipient on reasonable request. The Recipient will not make a restricted transfer of the Shared Data outside the UK without a valid transfer mechanism under those Articles. Neither party will make a restricted transfer of the Shared Data to a third country without such a mechanism.</w:t>
      </w:r>
    </w:p>
    <w:p>
      <w:r>
        <w:rPr/>
        <w:t>2.4 Each party is, or will be before the first Referral, registered with the Commissioner and has paid or will pay the data protection fee (to the extent required), will maintain that registration while this agreement is in force, and will provide its registration reference to the other on request.</w:t>
      </w:r>
    </w:p>
    <w:p>
      <w:r>
        <w:rPr/>
        <w:t>2.5 The data protection contact in each party's Details Block is that party's single point of contact for matters under this agreement (including breach notification, data subject rights and cooperation on complaints). Each party will keep that contact current and will tell the other in writing of any change.</w:t>
      </w:r>
    </w:p>
    <w:p>
      <w:pPr>
        <w:pStyle w:val="Heading2"/>
      </w:pPr>
      <w:r>
        <w:rPr/>
        <w:t>3. LAWFUL BASIS</w:t>
      </w:r>
    </w:p>
    <w:p>
      <w:r>
        <w:rPr/>
        <w:t>3.1 The Supplier shares the Shared Data on the basis of the legitimate interests of the Supplier and the Recipient under Article 6(1)(f) of the UK GDPR (connecting an enquirer who has asked for specialist professional help with a specialist firm). The Supplier holds a documented Legitimate Interests Assessment ("LIA"). The Supplier does not rely on Article 6(1)(b) for the share, having no contract with the enquirer. The Recipient may additionally rely on Article 6(1)(b) to the extent its first contact with the enquirer is a step taken at the enquirer's request before entering into an engagement.</w:t>
      </w:r>
    </w:p>
    <w:p>
      <w:r>
        <w:rPr/>
        <w:t>3.2 Transparency and the number of recipients. At the point of collection the Supplier tells the enquirer, on the enquiry form itself, that their details will be shared with regulated firms in the Supplier's specialist partner network (disclosed as a category of recipient, not named) so that those firms can answer the enquiry, and links from that form to the Site's privacy policy. That privacy policy tells the enquirer that more than one firm may receive their details, how many at most, that those firms may include non-accounting professions, and that each firm may contact them directly. The two together are the Article 13 notice, given in layers under clause 5.1 and Annex B. Because recipients are disclosed as a category, the arrangements the Supplier operates for its network determine which firms receive a given enquiry. Before a Referral a firm in the network is shown only an Alert, from which the enquirer cannot be identified; the Shared Data itself, including the enquirer's contact details and the unredacted enquiry, is disclosed only on the Referral.</w:t>
      </w:r>
    </w:p>
    <w:p>
      <w:r>
        <w:rPr/>
        <w:t>The Supplier will not Refer the same enquiry to more than three firms whose profession is accountancy or tax, or to more than three firms in other professions, and so will not Refer the same enquiry to more than six firms in total. Those limits are a condition of the Supplier's LIA under clause 3.1 and the Supplier will not increase them without first redoing that assessment. An enquiry no firm claims may be Referred to firms in another profession in the network for the same Permitted Purpose, and an enquiry a firm declines or does not accept may be Referred to another firm.</w:t>
      </w:r>
    </w:p>
    <w:p>
      <w:r>
        <w:rPr/>
        <w:t>3.3 For each Referral, the Supplier will: (a) keep evidence of the lawful basis (and, where consent is relied on for any purpose, keep the consent version, the exact wording shown, the date and time, and any IP address); (b) tell enquirers they can withdraw any consent and give them a way to do so that is as easy as the original opt-in; (c) send the relevant lawful-basis information with each Referral; and (d) not Refer an enquiry where the required basis is missing or has been withdrawn.</w:t>
      </w:r>
    </w:p>
    <w:p>
      <w:r>
        <w:rPr/>
        <w:t>3.4 The Recipient, as an independent Controller, will carry out and keep documented its own LIA for its receipt and processing of the Shared Data before the first Referral, and will review it on any material change. Each party will provide its LIA to the other, or to the Commissioner, on reasonable request.</w:t>
      </w:r>
    </w:p>
    <w:p>
      <w:r>
        <w:rPr/>
        <w:t>3.5 Objections. The Supplier will not Refer, and will not include in a Bulk Supply, the data of an enquirer who has objected to the sharing, withdrawn any consent relied on, or asked the Supplier to stop. Where the Supplier learns of an objection after an Alert has been issued but before a Referral, it will not make that Referral. Where it learns of one after a Referral, it will tell the Recipient under clause 6 and the Recipient will act on it.</w:t>
      </w:r>
    </w:p>
    <w:p>
      <w:r>
        <w:rPr/>
        <w:t>3.6 Bulk Supply. Where the Supplier supplies a batch of unverified enquiries by Bulk Supply, the following apply in addition to the rest of this agreement, which otherwise applies to that data as Shared Data:</w:t>
      </w:r>
    </w:p>
    <w:p>
      <w:r>
        <w:rPr/>
        <w:t>(a) the batch is supplied to the Recipient alone, and the Supplier will not supply the same enquiry to any other firm by Bulk Supply or by Referral;</w:t>
      </w:r>
    </w:p>
    <w:p>
      <w:r>
        <w:rPr/>
        <w:t>(b) the enquiries in it are those the Supplier was unable to verify, and the Supplier makes no representation that the contact details are live or that the enquirer will respond;</w:t>
      </w:r>
    </w:p>
    <w:p>
      <w:r>
        <w:rPr/>
        <w:t>(c) enquirers who have objected, withdrawn or opted out are excluded from the batch;</w:t>
      </w:r>
    </w:p>
    <w:p>
      <w:r>
        <w:rPr/>
        <w:t>(d) the Permitted Purpose is unchanged: the Recipient may use the data only to respond to the enquiry the person made; and</w:t>
      </w:r>
    </w:p>
    <w:p>
      <w:r>
        <w:rPr/>
        <w:t>(e) the Recipient will delete or anonymise any enquiry in the batch which it does not pursue, within 3 months of supply.</w:t>
      </w:r>
    </w:p>
    <w:p>
      <w:pPr>
        <w:pStyle w:val="Heading2"/>
      </w:pPr>
      <w:r>
        <w:rPr/>
        <w:t>4. SPECIAL CATEGORY AND CRIMINAL OFFENCE DATA</w:t>
      </w:r>
    </w:p>
    <w:p>
      <w:r>
        <w:rPr/>
        <w:t>The Supplier will design its enquiry forms to avoid collecting special category data (Article 9 of the UK GDPR) and Personal Data relating to criminal convictions or offences or alleged offences (Article 10), and to minimise sensitive detail in free-text fields. Each party will minimise or redact any such data where possible before sharing, and will process any special category data collected under an appropriate Article 9 condition (such as explicit consent) and any criminal-offence data under a lawful condition in Schedule 1 to the Data Protection Act 2018.</w:t>
      </w:r>
    </w:p>
    <w:p>
      <w:pPr>
        <w:pStyle w:val="Heading2"/>
      </w:pPr>
      <w:r>
        <w:rPr/>
        <w:t>5. TRANSPARENCY</w:t>
      </w:r>
    </w:p>
    <w:p>
      <w:r>
        <w:rPr/>
        <w:t>5.1 At the point of collection the Supplier will give the enquirer an Article 13 privacy notice covering: the Supplier's identity; that regulated firms from the Supplier's specialist partner network (a category of recipient, not named) are recipients, that more than one such firm may receive the enquiry, the maximum number that may do so, and that they may include firms in non-accounting professions; that an enquiry no firm takes may be passed to firms in another profession in the network for the same purpose; that an enquiry the Supplier is unable to verify may be supplied to a single firm as part of a batch; the Permitted Purpose; the lawful basis and, for legitimate interests, the legitimate interests pursued; the retention period; the enquirer's rights (including the right to object under Article 21); and how to complain to the Supplier and to the Commissioner. The wording is set out in Annex B. That notice is given in layers, as Annex B.1 describes: a short notice on the enquiry form itself, disclosing that the enquiry is shared with regulated firms in the network and linking to the Site's privacy policy, which carries the remainder of the information above. Because the Supplier discloses recipients by category, the enquirer learns the identity of each specific receiving firm from that firm's own Article 14 notice at first contact.</w:t>
      </w:r>
    </w:p>
    <w:p>
      <w:r>
        <w:rPr/>
        <w:t>5.2 The Recipient will: (a) give the enquirer Article 14 information, including its own identity as the receiving Controller and that it received the enquiry from the Site (identified in the Referral by its trading name) operated by the Supplier, Ashfield Trading Limited, normally at first contact and within 1 month of receipt; and (b) only rely on the Article 14(5)(a) exemption if the Supplier's records show the enquirer already has that information. Each party keeps its published privacy policy consistent with this agreement.</w:t>
      </w:r>
    </w:p>
    <w:p>
      <w:pPr>
        <w:pStyle w:val="Heading2"/>
      </w:pPr>
      <w:r>
        <w:rPr/>
        <w:t>6. RESPONSE VERSUS MARKETING (PECR)</w:t>
      </w:r>
    </w:p>
    <w:p>
      <w:r>
        <w:rPr/>
        <w:t>The Recipient may contact the enquirer to provide the information or advice requested; this is a response to the enquirer's request, not direct marketing. Neither party will send other-service electronic marketing without a lawful basis under PECR, and the Recipient will not rely on the regulation 22(3) soft opt-in in respect of an enquiry unless it independently satisfies the soft opt-in conditions. Each party will honour opt-outs and objections, will keep its own suppression list, and will tell the other within 2 Working Days of any withdrawal, opt-out or objection, so that both can apply it.</w:t>
      </w:r>
    </w:p>
    <w:p>
      <w:pPr>
        <w:pStyle w:val="Heading2"/>
      </w:pPr>
      <w:r>
        <w:rPr/>
        <w:t>7. DATA SPECIFICATION AND QUALITY</w:t>
      </w:r>
    </w:p>
    <w:p>
      <w:r>
        <w:rPr/>
        <w:t>The Shared Data is limited to the fields in Annex A; neither party will share or require more than is necessary for the Permitted Purpose. The Supplier shares the data as submitted by the enquirer and does not warrant its accuracy; each party will take reasonable steps to keep the data it holds accurate and will tell the other of any inaccuracy without undue delay.</w:t>
      </w:r>
    </w:p>
    <w:p>
      <w:pPr>
        <w:pStyle w:val="Heading2"/>
      </w:pPr>
      <w:r>
        <w:rPr/>
        <w:t>8. SECURITY</w:t>
      </w:r>
    </w:p>
    <w:p>
      <w:r>
        <w:rPr/>
        <w:t>Each party will implement appropriate technical and organisational measures (Article 32 of the UK GDPR). The Shared Data is Referred by a secure method that encrypts it in transit (such as a TLS-secured connection or a secure portal or API), and not by unencrypted means, with access controls and with personnel bound by confidentiality.</w:t>
      </w:r>
    </w:p>
    <w:p>
      <w:pPr>
        <w:pStyle w:val="Heading2"/>
      </w:pPr>
      <w:r>
        <w:rPr/>
        <w:t>9. PERSONAL DATA BREACH</w:t>
      </w:r>
    </w:p>
    <w:p>
      <w:r>
        <w:rPr/>
        <w:t>On becoming aware of a Personal Data Breach affecting the Shared Data, a party will notify the other without undue delay and within 24 hours, with the information in Article 33(3) of the UK GDPR (the nature of the breach, the categories and approximate numbers affected, the likely consequences and the measures taken), so the other can meet its 72-hour notification to the Commissioner and any notification to data subjects. The parties will cooperate to investigate, contain and remediate, and each will keep a record of breaches affecting the Shared Data.</w:t>
      </w:r>
    </w:p>
    <w:p>
      <w:pPr>
        <w:pStyle w:val="Heading2"/>
      </w:pPr>
      <w:r>
        <w:rPr/>
        <w:t>10. DATA SUBJECT RIGHTS AND COMPLAINTS</w:t>
      </w:r>
    </w:p>
    <w:p>
      <w:r>
        <w:rPr/>
        <w:t>Each party will handle requests about the Personal Data it holds (access, rectification, erasure, restriction, portability and objection), will give the other reasonable assistance, will acknowledge a forwarded request within 5 Working Days, and will promptly forward a misdirected request, and each may make reasonable and proportionate searches and pause for clarification or identity verification. Each party will operate an accessible complaints procedure, will acknowledge a complaint within 30 days, will investigate proportionately and will inform the complainant of the outcome; where a complaint concerns the Shared Data, the parties will cooperate.</w:t>
      </w:r>
    </w:p>
    <w:p>
      <w:pPr>
        <w:pStyle w:val="Heading2"/>
      </w:pPr>
      <w:r>
        <w:rPr/>
        <w:t>11. RETENTION, RECORDS AND REVIEW</w:t>
      </w:r>
    </w:p>
    <w:p>
      <w:r>
        <w:rPr/>
        <w:t>11.1 The Supplier will delete or anonymise the Shared Data (the enquirer's contact, verification and enquiry details) no later than the retention period published in the privacy notice of the Site the enquiry was submitted through, and in any event no later than 24 months from the enquiry. It may keep only the minimum needed to evidence the lawful basis and consent and the transparency information provided, to support its own records and reconciliation, and to meet legal duties. Any records kept under this carve-out will be limited to what is strictly necessary, will be held under access controls, and will be retained for no longer than 6 years from the Referral, after which they will be deleted or anonymised.</w:t>
      </w:r>
    </w:p>
    <w:p>
      <w:r>
        <w:rPr/>
        <w:t>11.2 The Recipient will retain the Shared Data only as long as necessary for the Permitted Purpose or its engagement with the enquirer, and will then delete or anonymise it.</w:t>
      </w:r>
    </w:p>
    <w:p>
      <w:r>
        <w:rPr/>
        <w:t>11.3 On termination, each party will delete or return Shared Data no longer needed for a lawful purpose and will certify deletion on request, subject to any legal retention. Each party will keep its own Article 30 records of the sharing. Before the first Referral, each party will carry out and document its own Data Protection Impact Assessment ("DPIA") or screening assessment for its processing of the Shared Data. The parties will review this agreement at least once a year, and whenever there is a material change in the sharing, the lawful basis or the law.</w:t>
      </w:r>
    </w:p>
    <w:p>
      <w:pPr>
        <w:pStyle w:val="Heading2"/>
      </w:pPr>
      <w:r>
        <w:rPr/>
        <w:t>12. NO ONWARD SHARING</w:t>
      </w:r>
    </w:p>
    <w:p>
      <w:r>
        <w:rPr/>
        <w:t>12.1 The Recipient will not disclose the Shared Data to any other Controller, except (a) to the enquirer, or to a person the enquirer directs, in the course of providing the requested advice; or (b) as required by law.</w:t>
      </w:r>
    </w:p>
    <w:p>
      <w:r>
        <w:rPr/>
        <w:t>12.2 The Recipient may use its own Processors under an Article 28 contract and remains responsible for any Processor it uses.</w:t>
      </w:r>
    </w:p>
    <w:p>
      <w:r>
        <w:rPr/>
        <w:t>12.3 The Recipient will not sell, list-broker or further refer the Shared Data.</w:t>
      </w:r>
    </w:p>
    <w:p>
      <w:r>
        <w:rPr/>
        <w:t>12.4 Clauses 12.1 to 12.3 restrict the Recipient only. They do not restrict the Supplier, which may Refer the same enquiry to other firms in its network within the limits in clause 3.2, and may supply enquiries by Bulk Supply, in each case as the Controller that collected the data. The Recipient acknowledges that it may not be the only firm that receives a given enquiry, that it is not told which other firms have received it, and that nothing in this agreement gives it exclusivity over any enquiry or over a Site's enquiry flow. Any exclusivity is a commercial matter agreed separately in writing.</w:t>
      </w:r>
    </w:p>
    <w:p>
      <w:pPr>
        <w:pStyle w:val="Heading2"/>
      </w:pPr>
      <w:r>
        <w:rPr/>
        <w:t>13. TERM AND TERMINATION</w:t>
      </w:r>
    </w:p>
    <w:p>
      <w:r>
        <w:rPr/>
        <w:t>13.1 This agreement starts on the date of the last signature below and continues until terminated under clause 13.2 or until the parties cease to operate the referral arrangement, whichever is earlier.</w:t>
      </w:r>
    </w:p>
    <w:p>
      <w:r>
        <w:rPr/>
        <w:t>13.2 Either party may terminate this agreement on 30 days' written notice. Either party may terminate immediately on written notice if the other commits a material breach of the Data Protection Legislation or of this agreement that it does not remedy within 14 days of written notice, or that cannot be remedied.</w:t>
      </w:r>
    </w:p>
    <w:p>
      <w:r>
        <w:rPr/>
        <w:t>13.3 Clauses 8 to 12, 14, 15 and 16, and any provision that by its nature should survive, continue after termination.</w:t>
      </w:r>
    </w:p>
    <w:p>
      <w:pPr>
        <w:pStyle w:val="Heading2"/>
      </w:pPr>
      <w:r>
        <w:rPr/>
        <w:t>14. LIABILITY</w:t>
      </w:r>
    </w:p>
    <w:p>
      <w:r>
        <w:rPr/>
        <w:t>14.1 Subject to clauses 14.2 and 14.3, each party is responsible for, and will indemnify the other against, losses and claims (but not any regulatory penalty imposed on that other party, to the extent recovery would be contrary to public policy) arising from its own breach of the Data Protection Legislation or of this agreement in respect of the Shared Data, to the extent caused by that party.</w:t>
      </w:r>
    </w:p>
    <w:p>
      <w:r>
        <w:rPr/>
        <w:t>14.2 Subject to clause 14.3, each party's total aggregate liability to the other under or in connection with this agreement is limited to £50,000 in aggregate. Neither party is liable for indirect or consequential loss, or for loss of profit, revenue or goodwill that is indirect or consequential. Each limitation and exclusion in this clause 14 is a separate and independent provision; if any is held unenforceable, the others continue to apply.</w:t>
      </w:r>
    </w:p>
    <w:p>
      <w:r>
        <w:rPr/>
        <w:t>14.3 Nothing in this agreement limits or excludes liability for death or personal injury caused by negligence, for fraud, for a Controller's liability to the Commissioner or to a data subject, or for anything that cannot lawfully be limited or excluded.</w:t>
      </w:r>
    </w:p>
    <w:p>
      <w:pPr>
        <w:pStyle w:val="Heading2"/>
      </w:pPr>
      <w:r>
        <w:rPr/>
        <w:t>15. GENERAL</w:t>
      </w:r>
    </w:p>
    <w:p>
      <w:r>
        <w:rPr/>
        <w:t>15.1 Notices under this agreement will be in writing and sent to the data protection contact email in the party's Details Block. A notice by email is deemed received at the time of sending, provided the sender does not receive an automated delivery-failure message (or, if sent after 5.00pm on a Working Day or on a non-Working Day, at 9.00am on the next Working Day). This does not apply to the service of court proceedings.</w:t>
      </w:r>
    </w:p>
    <w:p>
      <w:r>
        <w:rPr/>
        <w:t>15.2 No variation is effective unless in writing and signed by both parties.</w:t>
      </w:r>
    </w:p>
    <w:p>
      <w:r>
        <w:rPr/>
        <w:t>15.3 Nothing in this agreement creates a partnership, joint venture or agency.</w:t>
      </w:r>
    </w:p>
    <w:p>
      <w:r>
        <w:rPr/>
        <w:t>15.4 A person who is not a party has no right under the Contracts (Rights of Third Parties) Act 1999 to enforce this agreement, except that this does not affect any right of a data subject that exists apart from that Act.</w:t>
      </w:r>
    </w:p>
    <w:p>
      <w:r>
        <w:rPr/>
        <w:t>15.5 This agreement may be signed in counterparts, including by electronic signature, which together form one agreement.</w:t>
      </w:r>
    </w:p>
    <w:p>
      <w:r>
        <w:rPr/>
        <w:t>15.6 This agreement is the entire agreement between the parties about the sharing of the Shared Data and supersedes all prior arrangements about that subject matter. It does not affect the separate commercial terms of the referral arrangement.</w:t>
      </w:r>
    </w:p>
    <w:p>
      <w:r>
        <w:rPr/>
        <w:t>15.7 Neither party may assign, transfer, charge or otherwise deal with any of its rights or obligations under this agreement, or purport to do so, without the other's prior written consent (not to be unreasonably withheld or delayed).</w:t>
      </w:r>
    </w:p>
    <w:p>
      <w:r>
        <w:rPr/>
        <w:t>15.8 If any provision of this agreement is or becomes invalid, illegal or unenforceable, it is deemed modified to the minimum extent necessary to make it valid, legal and enforceable. If such modification is not possible, the relevant provision is deemed deleted. Any such modification or deletion does not affect the validity and enforceability of the rest of this agreement.</w:t>
      </w:r>
    </w:p>
    <w:p>
      <w:r>
        <w:rPr/>
        <w:t>15.9 No failure or delay by a party to exercise any right or remedy under this agreement or by law is a waiver of that or any other right or remedy, nor does it prevent or restrict the further exercise of that or any other right or remedy. A waiver is effective only if in writing.</w:t>
      </w:r>
    </w:p>
    <w:p>
      <w:pPr>
        <w:pStyle w:val="Heading2"/>
      </w:pPr>
      <w:r>
        <w:rPr/>
        <w:t>16. GOVERNING LAW AND JURISDICTION</w:t>
      </w:r>
    </w:p>
    <w:p>
      <w:r>
        <w:rPr/>
        <w:t>This agreement and any dispute or claim arising out of it (including non-contractual disputes) are governed by the law of England and Wales, and the parties submit to the exclusive jurisdiction of its courts.</w:t>
      </w:r>
    </w:p>
    <w:p>
      <w:pPr>
        <w:pStyle w:val="Heading2"/>
      </w:pPr>
      <w:r>
        <w:rPr/>
        <w:t>SIGNATURES</w:t>
      </w:r>
    </w:p>
    <w:p>
      <w:r>
        <w:rPr/>
        <w:t>Signature below binds the signing party to this agreement including the international data transfer agreement at Schedule 1, and constitutes that party's signature of the IDTA for the purposes of its Table 1.</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Supplier: Ashfield Trading Limited</w:t>
            </w:r>
          </w:p>
        </w:tc>
        <w:tc>
          <w:tcPr>
            <w:tcW w:type="dxa" w:w="5256"/>
            <w:shd w:val="clear" w:color="auto" w:fill="1F3355"/>
          </w:tcPr>
          <w:p>
            <w:pPr>
              <w:spacing w:after="40" w:before="40"/>
            </w:pPr>
            <w:r>
              <w:rPr>
                <w:b/>
                <w:color w:val="FFFFFF"/>
              </w:rPr>
              <w:t>Recipient (the firm or practitioner named below)</w:t>
            </w:r>
          </w:p>
        </w:tc>
      </w:tr>
      <w:tr>
        <w:tc>
          <w:tcPr>
            <w:tcW w:type="dxa" w:w="5256"/>
          </w:tcPr>
          <w:p>
            <w:pPr>
              <w:spacing w:after="40" w:before="40"/>
            </w:pPr>
            <w:r>
              <w:rPr/>
              <w:t>Signature: MJ MOUGHAL</w:t>
            </w:r>
          </w:p>
        </w:tc>
        <w:tc>
          <w:tcPr>
            <w:tcW w:type="dxa" w:w="5256"/>
          </w:tcPr>
          <w:p>
            <w:pPr>
              <w:spacing w:after="40" w:before="40"/>
            </w:pPr>
            <w:r>
              <w:rPr/>
              <w:t>Signature: ............................................</w:t>
            </w:r>
          </w:p>
        </w:tc>
      </w:tr>
      <w:tr>
        <w:tc>
          <w:tcPr>
            <w:tcW w:type="dxa" w:w="5256"/>
          </w:tcPr>
          <w:p>
            <w:pPr>
              <w:spacing w:after="40" w:before="40"/>
            </w:pPr>
            <w:r>
              <w:rPr/>
              <w:t>Name: Mohammed Junayd Moughal</w:t>
            </w:r>
          </w:p>
        </w:tc>
        <w:tc>
          <w:tcPr>
            <w:tcW w:type="dxa" w:w="5256"/>
          </w:tcPr>
          <w:p>
            <w:pPr>
              <w:spacing w:after="40" w:before="40"/>
            </w:pPr>
            <w:r>
              <w:rPr/>
              <w:t>Name: ............................................</w:t>
            </w:r>
          </w:p>
        </w:tc>
      </w:tr>
      <w:tr>
        <w:tc>
          <w:tcPr>
            <w:tcW w:type="dxa" w:w="5256"/>
          </w:tcPr>
          <w:p>
            <w:pPr>
              <w:spacing w:after="40" w:before="40"/>
            </w:pPr>
            <w:r>
              <w:rPr/>
              <w:t>Title: Director</w:t>
            </w:r>
          </w:p>
        </w:tc>
        <w:tc>
          <w:tcPr>
            <w:tcW w:type="dxa" w:w="5256"/>
          </w:tcPr>
          <w:p>
            <w:pPr>
              <w:spacing w:after="40" w:before="40"/>
            </w:pPr>
            <w:r>
              <w:rPr/>
              <w:t>Title: ............................................</w:t>
            </w:r>
          </w:p>
        </w:tc>
      </w:tr>
      <w:tr>
        <w:tc>
          <w:tcPr>
            <w:tcW w:type="dxa" w:w="5256"/>
          </w:tcPr>
          <w:p>
            <w:pPr>
              <w:spacing w:after="40" w:before="40"/>
            </w:pPr>
            <w:r>
              <w:rPr/>
              <w:t>Date: 26 August 2026</w:t>
            </w:r>
          </w:p>
        </w:tc>
        <w:tc>
          <w:tcPr>
            <w:tcW w:type="dxa" w:w="5256"/>
          </w:tcPr>
          <w:p>
            <w:pPr>
              <w:spacing w:after="40" w:before="40"/>
            </w:pPr>
            <w:r>
              <w:rPr/>
              <w:t>Date: ............................................</w:t>
            </w:r>
          </w:p>
        </w:tc>
      </w:tr>
    </w:tbl>
    <w:p>
      <w:pPr>
        <w:pStyle w:val="Heading3"/>
      </w:pPr>
      <w:r>
        <w:rPr/>
        <w:t>Details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3504"/>
        <w:gridCol w:w="3504"/>
        <w:gridCol w:w="3504"/>
      </w:tblGrid>
      <w:tr>
        <w:trPr>
          <w:tblHeader w:val="true"/>
        </w:trPr>
        <w:tc>
          <w:tcPr>
            <w:tcW w:type="dxa" w:w="3504"/>
            <w:shd w:val="clear" w:color="auto" w:fill="1F3355"/>
          </w:tcPr>
          <w:p>
            <w:pPr>
              <w:spacing w:after="40" w:before="40"/>
            </w:pPr>
            <w:r>
              <w:rPr>
                <w:b/>
                <w:color w:val="FFFFFF"/>
              </w:rPr>
              <w:t>Item</w:t>
            </w:r>
          </w:p>
        </w:tc>
        <w:tc>
          <w:tcPr>
            <w:tcW w:type="dxa" w:w="3504"/>
            <w:shd w:val="clear" w:color="auto" w:fill="1F3355"/>
          </w:tcPr>
          <w:p>
            <w:pPr>
              <w:spacing w:after="40" w:before="40"/>
            </w:pPr>
            <w:r>
              <w:rPr>
                <w:b/>
                <w:color w:val="FFFFFF"/>
              </w:rPr>
              <w:t>Supplier</w:t>
            </w:r>
          </w:p>
        </w:tc>
        <w:tc>
          <w:tcPr>
            <w:tcW w:type="dxa" w:w="3504"/>
            <w:shd w:val="clear" w:color="auto" w:fill="1F3355"/>
          </w:tcPr>
          <w:p>
            <w:pPr>
              <w:spacing w:after="40" w:before="40"/>
            </w:pPr>
            <w:r>
              <w:rPr>
                <w:b/>
                <w:color w:val="FFFFFF"/>
              </w:rPr>
              <w:t>Recipient</w:t>
            </w:r>
          </w:p>
        </w:tc>
      </w:tr>
      <w:tr>
        <w:tc>
          <w:tcPr>
            <w:tcW w:type="dxa" w:w="3504"/>
          </w:tcPr>
          <w:p>
            <w:pPr>
              <w:spacing w:after="40" w:before="40"/>
            </w:pPr>
            <w:r>
              <w:rPr/>
              <w:t>Firm, and registered number if a body corporate or LLP (for a sole practitioner, the individual's full name and any trading name)</w:t>
            </w:r>
          </w:p>
        </w:tc>
        <w:tc>
          <w:tcPr>
            <w:tcW w:type="dxa" w:w="3504"/>
          </w:tcPr>
          <w:p>
            <w:pPr>
              <w:spacing w:after="40" w:before="40"/>
            </w:pPr>
            <w:r>
              <w:rPr/>
              <w:t>Ashfield Trading Limited (company number 16358723), operating each Site under that Site's trading name</w:t>
            </w:r>
          </w:p>
        </w:tc>
        <w:tc>
          <w:tcPr>
            <w:tcW w:type="dxa" w:w="3504"/>
          </w:tcPr>
          <w:p>
            <w:pPr>
              <w:spacing w:after="40" w:before="40"/>
            </w:pPr>
          </w:p>
        </w:tc>
      </w:tr>
      <w:tr>
        <w:tc>
          <w:tcPr>
            <w:tcW w:type="dxa" w:w="3504"/>
          </w:tcPr>
          <w:p>
            <w:pPr>
              <w:spacing w:after="40" w:before="40"/>
            </w:pPr>
            <w:r>
              <w:rPr/>
              <w:t>Nominated Address for Referrals (secure endpoint or email)</w:t>
            </w:r>
          </w:p>
        </w:tc>
        <w:tc>
          <w:tcPr>
            <w:tcW w:type="dxa" w:w="3504"/>
          </w:tcPr>
          <w:p>
            <w:pPr>
              <w:spacing w:after="40" w:before="40"/>
            </w:pPr>
            <w:r>
              <w:rPr/>
              <w:t>Not applicable; the Supplier does not receive Referrals</w:t>
            </w:r>
          </w:p>
        </w:tc>
        <w:tc>
          <w:tcPr>
            <w:tcW w:type="dxa" w:w="3504"/>
          </w:tcPr>
          <w:p>
            <w:pPr>
              <w:spacing w:after="40" w:before="40"/>
            </w:pPr>
          </w:p>
        </w:tc>
      </w:tr>
      <w:tr>
        <w:tc>
          <w:tcPr>
            <w:tcW w:type="dxa" w:w="3504"/>
          </w:tcPr>
          <w:p>
            <w:pPr>
              <w:spacing w:after="40" w:before="40"/>
            </w:pPr>
            <w:r>
              <w:rPr/>
              <w:t>Notices and data protection contact</w:t>
            </w:r>
          </w:p>
        </w:tc>
        <w:tc>
          <w:tcPr>
            <w:tcW w:type="dxa" w:w="3504"/>
          </w:tcPr>
          <w:p>
            <w:pPr>
              <w:spacing w:after="40" w:before="40"/>
            </w:pPr>
            <w:r>
              <w:rPr/>
              <w:t>Mohammed Junayd Moughal, junayd@ashfieldtrading.com</w:t>
            </w:r>
          </w:p>
        </w:tc>
        <w:tc>
          <w:tcPr>
            <w:tcW w:type="dxa" w:w="3504"/>
          </w:tcPr>
          <w:p>
            <w:pPr>
              <w:spacing w:after="40" w:before="40"/>
            </w:pPr>
          </w:p>
        </w:tc>
      </w:tr>
      <w:tr>
        <w:tc>
          <w:tcPr>
            <w:tcW w:type="dxa" w:w="3504"/>
          </w:tcPr>
          <w:p>
            <w:pPr>
              <w:spacing w:after="40" w:before="40"/>
            </w:pPr>
            <w:r>
              <w:rPr/>
              <w:t>Sites covered by this agreement</w:t>
            </w:r>
          </w:p>
        </w:tc>
        <w:tc>
          <w:tcPr>
            <w:tcW w:type="dxa" w:w="3504"/>
          </w:tcPr>
          <w:p>
            <w:pPr>
              <w:spacing w:after="40" w:before="40"/>
            </w:pPr>
            <w:r>
              <w:rPr/>
              <w:t>All specialist enquiry websites operated by the Supplier, unless a narrower list is stated here:</w:t>
            </w:r>
          </w:p>
        </w:tc>
        <w:tc>
          <w:tcPr>
            <w:tcW w:type="dxa" w:w="3504"/>
          </w:tcPr>
          <w:p>
            <w:pPr>
              <w:spacing w:after="40" w:before="40"/>
            </w:pPr>
            <w:r>
              <w:rPr/>
              <w:t>Not applicable</w:t>
            </w:r>
          </w:p>
        </w:tc>
      </w:tr>
    </w:tbl>
    <w:p>
      <w:pPr>
        <w:pStyle w:val="Heading2"/>
      </w:pPr>
      <w:r>
        <w:rPr/>
        <w:t>ANNEX A: DATA SPECIFICATION</w:t>
      </w:r>
    </w:p>
    <w:p>
      <w:r>
        <w:rPr/>
        <w:t>This Annex is exhaustive. It specifies what an Alert contains before a Referral, and what the Shared Data contains on a Referral or a Bulk Supply. The Supplier maintains other information about an enquiry for its own internal operations, and that information is not Shared Data and is not disclosed to the Recipient.</w:t>
      </w:r>
    </w:p>
    <w:p>
      <w:r>
        <w:rPr/>
        <w:t>A.1 Alert (before any Referral). Case-type tier label; case type; a one-line intent summary generated automatically from the enquiry; the enquiry in the enquirer's own words, redacted as described below; the rough geographic area the enquirer gives, at county or region level; the Site and vertical the enquiry came from; the enquirer's self-selected role; the capture surface the enquiry was submitted through; the date and time the enquiry was submitted; verification status; whether the enquirer has booked a callback and, if so, the booked time; and the price.</w:t>
      </w:r>
    </w:p>
    <w:p>
      <w:r>
        <w:rPr/>
        <w:t>Redaction of the enquiry in an Alert removes names, telephone numbers, email addresses, postcodes, web addresses and company names, replacing each with a short marker naming the type of detail removed. An Alert contains no contact details and no unredacted enquiry, and the templates used to render it have no field for either, so a failure of redaction cannot become a disclosure of the enquirer's identity. Where redaction would leave the enquiry unintelligible, the Supplier shortens or withholds it rather than sending an Alert from which the enquirer could be identified.</w:t>
      </w:r>
    </w:p>
    <w:p>
      <w:r>
        <w:rPr/>
        <w:t>A.2 Shared Data (on a Referral, or on a Bulk Supply).</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Item</w:t>
            </w:r>
          </w:p>
        </w:tc>
        <w:tc>
          <w:tcPr>
            <w:tcW w:type="dxa" w:w="5256"/>
            <w:shd w:val="clear" w:color="auto" w:fill="1F3355"/>
          </w:tcPr>
          <w:p>
            <w:pPr>
              <w:spacing w:after="40" w:before="40"/>
            </w:pPr>
            <w:r>
              <w:rPr>
                <w:b/>
                <w:color w:val="FFFFFF"/>
              </w:rPr>
              <w:t>Detail</w:t>
            </w:r>
          </w:p>
        </w:tc>
      </w:tr>
      <w:tr>
        <w:tc>
          <w:tcPr>
            <w:tcW w:type="dxa" w:w="5256"/>
          </w:tcPr>
          <w:p>
            <w:pPr>
              <w:spacing w:after="40" w:before="40"/>
            </w:pPr>
            <w:r>
              <w:rPr/>
              <w:t>Data subjects</w:t>
            </w:r>
          </w:p>
        </w:tc>
        <w:tc>
          <w:tcPr>
            <w:tcW w:type="dxa" w:w="5256"/>
          </w:tcPr>
          <w:p>
            <w:pPr>
              <w:spacing w:after="40" w:before="40"/>
            </w:pPr>
            <w:r>
              <w:rPr/>
              <w:t>People enquiring through a Site (individuals, landlords, business owners and others seeking specialist professional advice).</w:t>
            </w:r>
          </w:p>
        </w:tc>
      </w:tr>
      <w:tr>
        <w:tc>
          <w:tcPr>
            <w:tcW w:type="dxa" w:w="5256"/>
          </w:tcPr>
          <w:p>
            <w:pPr>
              <w:spacing w:after="40" w:before="40"/>
            </w:pPr>
            <w:r>
              <w:rPr/>
              <w:t>Personal Data shared: identity and contact</w:t>
            </w:r>
          </w:p>
        </w:tc>
        <w:tc>
          <w:tcPr>
            <w:tcW w:type="dxa" w:w="5256"/>
          </w:tcPr>
          <w:p>
            <w:pPr>
              <w:spacing w:after="40" w:before="40"/>
            </w:pPr>
            <w:r>
              <w:rPr/>
              <w:t>Name; telephone number; email address.</w:t>
            </w:r>
          </w:p>
        </w:tc>
      </w:tr>
      <w:tr>
        <w:tc>
          <w:tcPr>
            <w:tcW w:type="dxa" w:w="5256"/>
          </w:tcPr>
          <w:p>
            <w:pPr>
              <w:spacing w:after="40" w:before="40"/>
            </w:pPr>
            <w:r>
              <w:rPr/>
              <w:t>Personal Data shared: enquiry</w:t>
            </w:r>
          </w:p>
        </w:tc>
        <w:tc>
          <w:tcPr>
            <w:tcW w:type="dxa" w:w="5256"/>
          </w:tcPr>
          <w:p>
            <w:pPr>
              <w:spacing w:after="40" w:before="40"/>
            </w:pPr>
            <w:r>
              <w:rPr/>
              <w:t>The enquiry message in full; the case-type tier label, the case type and the one-line intent summary; the enquirer's self-selected role and any free-text description of it in their own words; and the rough geographic area at county or region level.</w:t>
            </w:r>
          </w:p>
        </w:tc>
      </w:tr>
      <w:tr>
        <w:tc>
          <w:tcPr>
            <w:tcW w:type="dxa" w:w="5256"/>
          </w:tcPr>
          <w:p>
            <w:pPr>
              <w:spacing w:after="40" w:before="40"/>
            </w:pPr>
            <w:r>
              <w:rPr/>
              <w:t>Personal Data shared: business identifier</w:t>
            </w:r>
          </w:p>
        </w:tc>
        <w:tc>
          <w:tcPr>
            <w:tcW w:type="dxa" w:w="5256"/>
          </w:tcPr>
          <w:p>
            <w:pPr>
              <w:spacing w:after="40" w:before="40"/>
            </w:pPr>
            <w:r>
              <w:rPr/>
              <w:t>The practice or company name where the enquirer gives one.</w:t>
            </w:r>
          </w:p>
        </w:tc>
      </w:tr>
      <w:tr>
        <w:tc>
          <w:tcPr>
            <w:tcW w:type="dxa" w:w="5256"/>
          </w:tcPr>
          <w:p>
            <w:pPr>
              <w:spacing w:after="40" w:before="40"/>
            </w:pPr>
            <w:r>
              <w:rPr/>
              <w:t>Personal Data shared: verification</w:t>
            </w:r>
          </w:p>
        </w:tc>
        <w:tc>
          <w:tcPr>
            <w:tcW w:type="dxa" w:w="5256"/>
          </w:tcPr>
          <w:p>
            <w:pPr>
              <w:spacing w:after="40" w:before="40"/>
            </w:pPr>
            <w:r>
              <w:rPr/>
              <w:t>Whether the enquirer's telephone number and email address were verified, and the date and time of verification. On a Bulk Supply the enquiries are unverified by definition.</w:t>
            </w:r>
          </w:p>
        </w:tc>
      </w:tr>
      <w:tr>
        <w:tc>
          <w:tcPr>
            <w:tcW w:type="dxa" w:w="5256"/>
          </w:tcPr>
          <w:p>
            <w:pPr>
              <w:spacing w:after="40" w:before="40"/>
            </w:pPr>
            <w:r>
              <w:rPr/>
              <w:t>Personal Data shared: responses and callback</w:t>
            </w:r>
          </w:p>
        </w:tc>
        <w:tc>
          <w:tcPr>
            <w:tcW w:type="dxa" w:w="5256"/>
          </w:tcPr>
          <w:p>
            <w:pPr>
              <w:spacing w:after="40" w:before="40"/>
            </w:pPr>
            <w:r>
              <w:rPr/>
              <w:t>The record of the enquirer's responses to the Supplier's verification and follow-up messages, including their verbatim content and dates and times; and any callback time the enquirer has booked. Not applicable to a Bulk Supply.</w:t>
            </w:r>
          </w:p>
        </w:tc>
      </w:tr>
      <w:tr>
        <w:tc>
          <w:tcPr>
            <w:tcW w:type="dxa" w:w="5256"/>
          </w:tcPr>
          <w:p>
            <w:pPr>
              <w:spacing w:after="40" w:before="40"/>
            </w:pPr>
            <w:r>
              <w:rPr/>
              <w:t>Personal Data shared: source and record</w:t>
            </w:r>
          </w:p>
        </w:tc>
        <w:tc>
          <w:tcPr>
            <w:tcW w:type="dxa" w:w="5256"/>
          </w:tcPr>
          <w:p>
            <w:pPr>
              <w:spacing w:after="40" w:before="40"/>
            </w:pPr>
            <w:r>
              <w:rPr/>
              <w:t>The Site the enquiry was submitted through, the page it was submitted from and the capture surface used; the date and time of the enquiry and of the Referral; the Supplier's reference for the enquiry; and the data-sharing notice shown to the enquirer at the point of collection.</w:t>
            </w:r>
          </w:p>
        </w:tc>
      </w:tr>
      <w:tr>
        <w:tc>
          <w:tcPr>
            <w:tcW w:type="dxa" w:w="5256"/>
          </w:tcPr>
          <w:p>
            <w:pPr>
              <w:spacing w:after="40" w:before="40"/>
            </w:pPr>
            <w:r>
              <w:rPr/>
              <w:t>Character of the data</w:t>
            </w:r>
          </w:p>
        </w:tc>
        <w:tc>
          <w:tcPr>
            <w:tcW w:type="dxa" w:w="5256"/>
          </w:tcPr>
          <w:p>
            <w:pPr>
              <w:spacing w:after="40" w:before="40"/>
            </w:pPr>
            <w:r>
              <w:rPr/>
              <w:t>General Personal Data only; no data field beyond those listed above is shared, and neither party will share or require more than is necessary for the Permitted Purpose (clause 7).</w:t>
            </w:r>
          </w:p>
        </w:tc>
      </w:tr>
      <w:tr>
        <w:tc>
          <w:tcPr>
            <w:tcW w:type="dxa" w:w="5256"/>
          </w:tcPr>
          <w:p>
            <w:pPr>
              <w:spacing w:after="40" w:before="40"/>
            </w:pPr>
            <w:r>
              <w:rPr/>
              <w:t>Special category data</w:t>
            </w:r>
          </w:p>
        </w:tc>
        <w:tc>
          <w:tcPr>
            <w:tcW w:type="dxa" w:w="5256"/>
          </w:tcPr>
          <w:p>
            <w:pPr>
              <w:spacing w:after="40" w:before="40"/>
            </w:pPr>
            <w:r>
              <w:rPr/>
              <w:t>None intended to be collected or shared (clause 4).</w:t>
            </w:r>
          </w:p>
        </w:tc>
      </w:tr>
      <w:tr>
        <w:tc>
          <w:tcPr>
            <w:tcW w:type="dxa" w:w="5256"/>
          </w:tcPr>
          <w:p>
            <w:pPr>
              <w:spacing w:after="40" w:before="40"/>
            </w:pPr>
            <w:r>
              <w:rPr/>
              <w:t>Direction</w:t>
            </w:r>
          </w:p>
        </w:tc>
        <w:tc>
          <w:tcPr>
            <w:tcW w:type="dxa" w:w="5256"/>
          </w:tcPr>
          <w:p>
            <w:pPr>
              <w:spacing w:after="40" w:before="40"/>
            </w:pPr>
            <w:r>
              <w:rPr/>
              <w:t>Supplier to Recipient (one way).</w:t>
            </w:r>
          </w:p>
        </w:tc>
      </w:tr>
      <w:tr>
        <w:tc>
          <w:tcPr>
            <w:tcW w:type="dxa" w:w="5256"/>
          </w:tcPr>
          <w:p>
            <w:pPr>
              <w:spacing w:after="40" w:before="40"/>
            </w:pPr>
            <w:r>
              <w:rPr/>
              <w:t>Number of recipients</w:t>
            </w:r>
          </w:p>
        </w:tc>
        <w:tc>
          <w:tcPr>
            <w:tcW w:type="dxa" w:w="5256"/>
          </w:tcPr>
          <w:p>
            <w:pPr>
              <w:spacing w:after="40" w:before="40"/>
            </w:pPr>
            <w:r>
              <w:rPr/>
              <w:t>The same enquiry may be Referred to up to three accountancy or tax firms and up to three firms in other professions (clause 3.2). A Bulk Supply is made to one firm only (clause 3.6).</w:t>
            </w:r>
          </w:p>
        </w:tc>
      </w:tr>
      <w:tr>
        <w:tc>
          <w:tcPr>
            <w:tcW w:type="dxa" w:w="5256"/>
          </w:tcPr>
          <w:p>
            <w:pPr>
              <w:spacing w:after="40" w:before="40"/>
            </w:pPr>
            <w:r>
              <w:rPr/>
              <w:t>Lawful basis (Supplier share)</w:t>
            </w:r>
          </w:p>
        </w:tc>
        <w:tc>
          <w:tcPr>
            <w:tcW w:type="dxa" w:w="5256"/>
          </w:tcPr>
          <w:p>
            <w:pPr>
              <w:spacing w:after="40" w:before="40"/>
            </w:pPr>
            <w:r>
              <w:rPr/>
              <w:t>Legitimate interests, Article 6(1)(f), with a documented LIA (clause 3).</w:t>
            </w:r>
          </w:p>
        </w:tc>
      </w:tr>
      <w:tr>
        <w:tc>
          <w:tcPr>
            <w:tcW w:type="dxa" w:w="5256"/>
          </w:tcPr>
          <w:p>
            <w:pPr>
              <w:spacing w:after="40" w:before="40"/>
            </w:pPr>
            <w:r>
              <w:rPr/>
              <w:t>Lawful basis (Recipient receipt)</w:t>
            </w:r>
          </w:p>
        </w:tc>
        <w:tc>
          <w:tcPr>
            <w:tcW w:type="dxa" w:w="5256"/>
          </w:tcPr>
          <w:p>
            <w:pPr>
              <w:spacing w:after="40" w:before="40"/>
            </w:pPr>
            <w:r>
              <w:rPr/>
              <w:t>Legitimate interests, Article 6(1)(f), and Article 6(1)(b) for pre-contractual steps taken at the enquirer's request, each with a documented LIA.</w:t>
            </w:r>
          </w:p>
        </w:tc>
      </w:tr>
      <w:tr>
        <w:tc>
          <w:tcPr>
            <w:tcW w:type="dxa" w:w="5256"/>
          </w:tcPr>
          <w:p>
            <w:pPr>
              <w:spacing w:after="40" w:before="40"/>
            </w:pPr>
            <w:r>
              <w:rPr/>
              <w:t>Method of transfer</w:t>
            </w:r>
          </w:p>
        </w:tc>
        <w:tc>
          <w:tcPr>
            <w:tcW w:type="dxa" w:w="5256"/>
          </w:tcPr>
          <w:p>
            <w:pPr>
              <w:spacing w:after="40" w:before="40"/>
            </w:pPr>
            <w:r>
              <w:rPr/>
              <w:t>Secure forwarding to the Nominated Address, encrypted in transit, accompanied by the lawful-basis information and the notice wording shown to the enquirer.</w:t>
            </w:r>
          </w:p>
        </w:tc>
      </w:tr>
      <w:tr>
        <w:tc>
          <w:tcPr>
            <w:tcW w:type="dxa" w:w="5256"/>
          </w:tcPr>
          <w:p>
            <w:pPr>
              <w:spacing w:after="40" w:before="40"/>
            </w:pPr>
            <w:r>
              <w:rPr/>
              <w:t>Retention (Supplier)</w:t>
            </w:r>
          </w:p>
        </w:tc>
        <w:tc>
          <w:tcPr>
            <w:tcW w:type="dxa" w:w="5256"/>
          </w:tcPr>
          <w:p>
            <w:pPr>
              <w:spacing w:after="40" w:before="40"/>
            </w:pPr>
            <w:r>
              <w:rPr/>
              <w:t>Delete or anonymise the Shared Data no later than the retention period published in the relevant Site's privacy notice, and in any event no later than 24 months from the enquiry (evidence and records carved out, clause 11.1).</w:t>
            </w:r>
          </w:p>
        </w:tc>
      </w:tr>
      <w:tr>
        <w:tc>
          <w:tcPr>
            <w:tcW w:type="dxa" w:w="5256"/>
          </w:tcPr>
          <w:p>
            <w:pPr>
              <w:spacing w:after="40" w:before="40"/>
            </w:pPr>
            <w:r>
              <w:rPr/>
              <w:t>Retention (Recipient)</w:t>
            </w:r>
          </w:p>
        </w:tc>
        <w:tc>
          <w:tcPr>
            <w:tcW w:type="dxa" w:w="5256"/>
          </w:tcPr>
          <w:p>
            <w:pPr>
              <w:spacing w:after="40" w:before="40"/>
            </w:pPr>
            <w:r>
              <w:rPr/>
              <w:t>As long as necessary for the Permitted Purpose or engagement, then delete or anonymise. On a Bulk Supply, within 3 months for any enquiry not pursued (clause 3.6(e)).</w:t>
            </w:r>
          </w:p>
        </w:tc>
      </w:tr>
    </w:tbl>
    <w:p>
      <w:r>
        <w:rPr/>
        <w:t>A.3 Not shared. For the avoidance of doubt, and because clause 7 limits the Shared Data to this Annex, the following are held by the Supplier for its own purposes and are not disclosed to the Recipient: the enquirer's on-site behaviour, pages viewed, session or engagement counts and referring website; device type and country; the telephone carrier or line type and email deliverability detail; the Supplier's derived best-contact window; public-register information the Supplier looks up about a company the enquirer mentions; and the Supplier's internal quality score or estimated value for the enquiry.</w:t>
      </w:r>
    </w:p>
    <w:p>
      <w:pPr>
        <w:pStyle w:val="Heading2"/>
      </w:pPr>
      <w:r>
        <w:rPr/>
        <w:t>ANNEX B: PRIVACY NOTICE WORDING</w:t>
      </w:r>
    </w:p>
    <w:p>
      <w:r>
        <w:rPr/>
        <w:t>B.1 Category-based, layered disclosure. Each Site identifies recipients only as a category, "our specialist partner network", and does not name any individual receiving firm. The disclosure is layered: the enquiry form carries a short notice which discloses on its face that the enquiry goes to firms in that network, and links to the Site's privacy policy, which carries the detail in B.4, including how many firms at most. The Supplier's LIA depends on both layers being present, and on the form notice conveying plural firms rather than a single nominated adviser.</w:t>
      </w:r>
    </w:p>
    <w:p>
      <w:r>
        <w:rPr/>
        <w:t>B.2 Enquiry-form acknowledgement. The lawful basis for the share is legitimate interests (clause 3), and submitting the enquiry is the affirmative act, so the wording is presented as an acknowledgement rather than a consent tick-box. On each enquiry form the Supplier will display the following, with the trading name of the Site on which the form appears in place of the words "This site":</w:t>
      </w:r>
    </w:p>
    <w:p>
      <w:pPr>
        <w:spacing w:before="80" w:after="80"/>
        <w:ind w:left="432"/>
        <w:pBdr>
          <w:left w:val="single" w:sz="18" w:space="10" w:color="8AA0C8"/>
        </w:pBdr>
      </w:pPr>
      <w:r>
        <w:rPr>
          <w:i/>
        </w:rPr>
        <w:t>"This site will share your details with regulated firms in our specialist partner network so they can answer your enquiry. You can object at any time. See our Privacy Policy."</w:t>
      </w:r>
    </w:p>
    <w:p>
      <w:r>
        <w:rPr/>
        <w:t>Each receiving firm identifies itself to the enquirer in its own Article 14 notice at first contact (clause 5.2); the Site does not name it and does not link to any individual firm's privacy policy.</w:t>
      </w:r>
    </w:p>
    <w:p>
      <w:r>
        <w:rPr/>
        <w:t>B.3 The Supplier may make amendments necessary to keep this wording legally accurate, provided that no amendment (a) removes or materially weakens the disclosure on the enquiry form that data is shared with regulated firms in the partner network, (b) removes the link from that form to the Site's privacy policy, or (c) removes or materially weakens anything required by B.4, in each case without the Recipient's prior written consent (not to be unreasonably withheld or delayed). The Supplier will not shorten the form notice so that it no longer conveys that the recipients are firms in a network rather than a single firm.</w:t>
      </w:r>
    </w:p>
    <w:p>
      <w:r>
        <w:rPr/>
        <w:t>B.4 Privacy notice. This is the second layer referred to in B.1, B.2 and clause 5.1, and it is mandatory. Each Site's privacy policy will identify the Supplier; will describe the recipients as a category ("regulated and professionally qualified firms in our specialist partner network"), without naming individual firms; and will give the Permitted Purpose, the lawful basis and, for legitimate interests, the legitimate interests pursued, the retention period, the enquirer's rights (including the right to object under Article 21) and how to complain to the Supplier and to the Commissioner. It will explain that each specific firm contacting the enquirer will identify itself and provide its own privacy information.</w:t>
      </w:r>
    </w:p>
    <w:p>
      <w:r>
        <w:rPr/>
        <w:t>It will also state, in terms the enquirer can act on:</w:t>
      </w:r>
    </w:p>
    <w:p>
      <w:r>
        <w:rPr/>
        <w:t>(a) that more than one firm may receive the enquiry, that each is an independent controller, and the maximum number that may do so, being up to three firms in the profession the enquiry concerns and up to three in related professions;</w:t>
      </w:r>
    </w:p>
    <w:p>
      <w:r>
        <w:rPr/>
        <w:t>(b) that an enquiry no firm takes up may be offered instead to firms in a related profession for the same purpose;</w:t>
      </w:r>
    </w:p>
    <w:p>
      <w:r>
        <w:rPr/>
        <w:t>(c) that where the Supplier cannot confirm the enquirer's contact details and the enquirer does not respond to its follow-up, the enquiry may be supplied to a single firm as part of a batch, for the same purpose;</w:t>
      </w:r>
    </w:p>
    <w:p>
      <w:r>
        <w:rPr/>
        <w:t>(d) that the Supplier may be paid a fee by a firm the enquiry is passed to; and</w:t>
      </w:r>
    </w:p>
    <w:p>
      <w:r>
        <w:rPr/>
        <w:t>(e) the processors the Supplier uses to operate the service, including hosting, email, SMS, an artificial-intelligence service used to grade and summarise enquiries, and a public-register lookup, and that processing is not exclusively within the United Kingdom.</w:t>
      </w:r>
    </w:p>
    <w:p>
      <w:r>
        <w:rPr/>
        <w:t>B.5 Condition. A Site whose enquiry form does not carry the disclosure and the privacy policy link in B.2, or whose privacy policy does not carry the disclosures in B.4 in full, must not have its enquiries entered into the partner network. Both layers are required. This mirrors the condition in the Supplier's LIA, which is not made out without them.</w:t>
      </w:r>
    </w:p>
    <w:p>
      <w:pPr>
        <w:pStyle w:val="Heading2"/>
      </w:pPr>
      <w:r>
        <w:rPr/>
        <w:t>SCHEDULE 1: INTERNATIONAL DATA TRANSFER AGREEMENT</w:t>
      </w:r>
    </w:p>
    <w:p>
      <w:r>
        <w:rPr/>
        <w:t>This is an international data transfer agreement in the form issued by the Information Commissioner under section 119A of the Data Protection Act 2018 (version A1.0, in force 21 March 2022) (the "IDTA"). It consists of the four tables below (Part one of the IDTA) together with the Mandatory Clauses (Part four of the IDTA) as published by the Information Commissioner, which are incorporated into this agreement by reference as permitted by the IDTA. The parties agree to be bound by those Mandatory Clauses as if set out in full here.</w:t>
      </w:r>
    </w:p>
    <w:p>
      <w:pPr>
        <w:pStyle w:val="Heading2"/>
      </w:pPr>
      <w:r>
        <w:rPr/>
        <w:t>TABLE 1: PARTIES AND SIGNATURES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3504"/>
        <w:gridCol w:w="3504"/>
        <w:gridCol w:w="3504"/>
      </w:tblGrid>
      <w:tr>
        <w:trPr>
          <w:tblHeader w:val="true"/>
        </w:trPr>
        <w:tc>
          <w:tcPr>
            <w:tcW w:type="dxa" w:w="3504"/>
            <w:shd w:val="clear" w:color="auto" w:fill="1F3355"/>
          </w:tcPr>
          <w:p>
            <w:pPr>
              <w:spacing w:after="40" w:before="40"/>
            </w:pPr>
            <w:r>
              <w:rPr>
                <w:b/>
                <w:color w:val="FFFFFF"/>
              </w:rPr>
              <w:t>Item</w:t>
            </w:r>
          </w:p>
        </w:tc>
        <w:tc>
          <w:tcPr>
            <w:tcW w:type="dxa" w:w="3504"/>
            <w:shd w:val="clear" w:color="auto" w:fill="1F3355"/>
          </w:tcPr>
          <w:p>
            <w:pPr>
              <w:spacing w:after="40" w:before="40"/>
            </w:pPr>
            <w:r>
              <w:rPr>
                <w:b/>
                <w:color w:val="FFFFFF"/>
              </w:rPr>
              <w:t>Exporter</w:t>
            </w:r>
          </w:p>
        </w:tc>
        <w:tc>
          <w:tcPr>
            <w:tcW w:type="dxa" w:w="3504"/>
            <w:shd w:val="clear" w:color="auto" w:fill="1F3355"/>
          </w:tcPr>
          <w:p>
            <w:pPr>
              <w:spacing w:after="40" w:before="40"/>
            </w:pPr>
            <w:r>
              <w:rPr>
                <w:b/>
                <w:color w:val="FFFFFF"/>
              </w:rPr>
              <w:t>Importer</w:t>
            </w:r>
          </w:p>
        </w:tc>
      </w:tr>
      <w:tr>
        <w:tc>
          <w:tcPr>
            <w:tcW w:type="dxa" w:w="3504"/>
          </w:tcPr>
          <w:p>
            <w:pPr>
              <w:spacing w:after="40" w:before="40"/>
            </w:pPr>
            <w:r>
              <w:rPr/>
              <w:t>Parties' details</w:t>
            </w:r>
          </w:p>
        </w:tc>
        <w:tc>
          <w:tcPr>
            <w:tcW w:type="dxa" w:w="3504"/>
          </w:tcPr>
          <w:p>
            <w:pPr>
              <w:spacing w:after="40" w:before="40"/>
            </w:pPr>
            <w:r>
              <w:rPr/>
              <w:t>Ashfield Trading Limited, company number 16358723, registered office 20 Ashfield Avenue, Shipley, BD18 3AL, United Kingdom</w:t>
            </w:r>
          </w:p>
        </w:tc>
        <w:tc>
          <w:tcPr>
            <w:tcW w:type="dxa" w:w="3504"/>
          </w:tcPr>
          <w:p>
            <w:pPr>
              <w:spacing w:after="40" w:before="40"/>
            </w:pPr>
            <w:r>
              <w:rPr/>
              <w:t>Aswatax Ltd, company number 12923632, registered office 124 City Road, London, EC1V 2NX, United Kingdom, whose relevant personnel access the data from the Kingdom of Saudi Arabia</w:t>
            </w:r>
          </w:p>
        </w:tc>
      </w:tr>
      <w:tr>
        <w:tc>
          <w:tcPr>
            <w:tcW w:type="dxa" w:w="3504"/>
          </w:tcPr>
          <w:p>
            <w:pPr>
              <w:spacing w:after="40" w:before="40"/>
            </w:pPr>
            <w:r>
              <w:rPr/>
              <w:t>Key contact</w:t>
            </w:r>
          </w:p>
        </w:tc>
        <w:tc>
          <w:tcPr>
            <w:tcW w:type="dxa" w:w="3504"/>
          </w:tcPr>
          <w:p>
            <w:pPr>
              <w:spacing w:after="40" w:before="40"/>
            </w:pPr>
            <w:r>
              <w:rPr/>
              <w:t>Mohammed Junayd Moughal, Director, junayd@ashfieldtrading.com</w:t>
            </w:r>
          </w:p>
        </w:tc>
        <w:tc>
          <w:tcPr>
            <w:tcW w:type="dxa" w:w="3504"/>
          </w:tcPr>
          <w:p>
            <w:pPr>
              <w:spacing w:after="40" w:before="40"/>
            </w:pPr>
            <w:r>
              <w:rPr/>
              <w:t>The Recipient's notices and data protection contact in the Details table of this agreement, unless stated otherwise here: ............................................</w:t>
            </w:r>
          </w:p>
        </w:tc>
      </w:tr>
      <w:tr>
        <w:tc>
          <w:tcPr>
            <w:tcW w:type="dxa" w:w="3504"/>
          </w:tcPr>
          <w:p>
            <w:pPr>
              <w:spacing w:after="40" w:before="40"/>
            </w:pPr>
            <w:r>
              <w:rPr/>
              <w:t>Importer data subject contact</w:t>
            </w:r>
          </w:p>
        </w:tc>
        <w:tc>
          <w:tcPr>
            <w:tcW w:type="dxa" w:w="3504"/>
          </w:tcPr>
          <w:p>
            <w:pPr>
              <w:spacing w:after="40" w:before="40"/>
            </w:pPr>
            <w:r>
              <w:rPr/>
              <w:t>Not applicable</w:t>
            </w:r>
          </w:p>
        </w:tc>
        <w:tc>
          <w:tcPr>
            <w:tcW w:type="dxa" w:w="3504"/>
          </w:tcPr>
          <w:p>
            <w:pPr>
              <w:spacing w:after="40" w:before="40"/>
            </w:pPr>
            <w:r>
              <w:rPr/>
              <w:t>The key contact above, unless stated otherwise here: ............................................</w:t>
            </w:r>
          </w:p>
        </w:tc>
      </w:tr>
      <w:tr>
        <w:tc>
          <w:tcPr>
            <w:tcW w:type="dxa" w:w="3504"/>
          </w:tcPr>
          <w:p>
            <w:pPr>
              <w:spacing w:after="40" w:before="40"/>
            </w:pPr>
            <w:r>
              <w:rPr/>
              <w:t>Signature</w:t>
            </w:r>
          </w:p>
        </w:tc>
        <w:tc>
          <w:tcPr>
            <w:tcW w:type="dxa" w:w="3504"/>
          </w:tcPr>
          <w:p>
            <w:pPr>
              <w:spacing w:after="40" w:before="40"/>
            </w:pPr>
            <w:r>
              <w:rPr/>
              <w:t>Signed by execution of the signature block of the agreement to which this IDTA is Schedule 1</w:t>
            </w:r>
          </w:p>
        </w:tc>
        <w:tc>
          <w:tcPr>
            <w:tcW w:type="dxa" w:w="3504"/>
          </w:tcPr>
          <w:p>
            <w:pPr>
              <w:spacing w:after="40" w:before="40"/>
            </w:pPr>
            <w:r>
              <w:rPr/>
              <w:t>Signed by execution of the signature block of the agreement to which this IDTA is Schedule 1</w:t>
            </w:r>
          </w:p>
        </w:tc>
      </w:tr>
    </w:tbl>
    <w:p>
      <w:pPr>
        <w:pStyle w:val="Heading2"/>
      </w:pPr>
      <w:r>
        <w:rPr/>
        <w:t>TABLE 2: TRANSFER DETAILS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Item</w:t>
            </w:r>
          </w:p>
        </w:tc>
        <w:tc>
          <w:tcPr>
            <w:tcW w:type="dxa" w:w="5256"/>
            <w:shd w:val="clear" w:color="auto" w:fill="1F3355"/>
          </w:tcPr>
          <w:p>
            <w:pPr>
              <w:spacing w:after="40" w:before="40"/>
            </w:pPr>
            <w:r>
              <w:rPr>
                <w:b/>
                <w:color w:val="FFFFFF"/>
              </w:rPr>
              <w:t>Detail</w:t>
            </w:r>
          </w:p>
        </w:tc>
      </w:tr>
      <w:tr>
        <w:tc>
          <w:tcPr>
            <w:tcW w:type="dxa" w:w="5256"/>
          </w:tcPr>
          <w:p>
            <w:pPr>
              <w:spacing w:after="40" w:before="40"/>
            </w:pPr>
            <w:r>
              <w:rPr/>
              <w:t>UK country's law that governs the IDTA</w:t>
            </w:r>
          </w:p>
        </w:tc>
        <w:tc>
          <w:tcPr>
            <w:tcW w:type="dxa" w:w="5256"/>
          </w:tcPr>
          <w:p>
            <w:pPr>
              <w:spacing w:after="40" w:before="40"/>
            </w:pPr>
            <w:r>
              <w:rPr/>
              <w:t>England and Wales</w:t>
            </w:r>
          </w:p>
        </w:tc>
      </w:tr>
      <w:tr>
        <w:tc>
          <w:tcPr>
            <w:tcW w:type="dxa" w:w="5256"/>
          </w:tcPr>
          <w:p>
            <w:pPr>
              <w:spacing w:after="40" w:before="40"/>
            </w:pPr>
            <w:r>
              <w:rPr/>
              <w:t>Primary place for legal claims to be made by the parties</w:t>
            </w:r>
          </w:p>
        </w:tc>
        <w:tc>
          <w:tcPr>
            <w:tcW w:type="dxa" w:w="5256"/>
          </w:tcPr>
          <w:p>
            <w:pPr>
              <w:spacing w:after="40" w:before="40"/>
            </w:pPr>
            <w:r>
              <w:rPr/>
              <w:t>England and Wales</w:t>
            </w:r>
          </w:p>
        </w:tc>
      </w:tr>
      <w:tr>
        <w:tc>
          <w:tcPr>
            <w:tcW w:type="dxa" w:w="5256"/>
          </w:tcPr>
          <w:p>
            <w:pPr>
              <w:spacing w:after="40" w:before="40"/>
            </w:pPr>
            <w:r>
              <w:rPr/>
              <w:t>The status of the parties</w:t>
            </w:r>
          </w:p>
        </w:tc>
        <w:tc>
          <w:tcPr>
            <w:tcW w:type="dxa" w:w="5256"/>
          </w:tcPr>
          <w:p>
            <w:pPr>
              <w:spacing w:after="40" w:before="40"/>
            </w:pPr>
            <w:r>
              <w:rPr/>
              <w:t>The Exporter is a controller. The Importer is a controller. The parties are independent controllers of the transferred data and neither is the other's processor.</w:t>
            </w:r>
          </w:p>
        </w:tc>
      </w:tr>
      <w:tr>
        <w:tc>
          <w:tcPr>
            <w:tcW w:type="dxa" w:w="5256"/>
          </w:tcPr>
          <w:p>
            <w:pPr>
              <w:spacing w:after="40" w:before="40"/>
            </w:pPr>
            <w:r>
              <w:rPr/>
              <w:t>Whether UK GDPR applies to the Importer</w:t>
            </w:r>
          </w:p>
        </w:tc>
        <w:tc>
          <w:tcPr>
            <w:tcW w:type="dxa" w:w="5256"/>
          </w:tcPr>
          <w:p>
            <w:pPr>
              <w:spacing w:after="40" w:before="40"/>
            </w:pPr>
            <w:r>
              <w:rPr/>
              <w:t>UK GDPR applies to the Importer's processing of the transferred data.</w:t>
            </w:r>
          </w:p>
        </w:tc>
      </w:tr>
      <w:tr>
        <w:tc>
          <w:tcPr>
            <w:tcW w:type="dxa" w:w="5256"/>
          </w:tcPr>
          <w:p>
            <w:pPr>
              <w:spacing w:after="40" w:before="40"/>
            </w:pPr>
            <w:r>
              <w:rPr/>
              <w:t>Linked Agreement</w:t>
            </w:r>
          </w:p>
        </w:tc>
        <w:tc>
          <w:tcPr>
            <w:tcW w:type="dxa" w:w="5256"/>
          </w:tcPr>
          <w:p>
            <w:pPr>
              <w:spacing w:after="40" w:before="40"/>
            </w:pPr>
            <w:r>
              <w:rPr/>
              <w:t>The Data Sharing Agreement to which this IDTA is Schedule 1, and the Referral Agreement between the parties signed alongside it.</w:t>
            </w:r>
          </w:p>
        </w:tc>
      </w:tr>
      <w:tr>
        <w:tc>
          <w:tcPr>
            <w:tcW w:type="dxa" w:w="5256"/>
          </w:tcPr>
          <w:p>
            <w:pPr>
              <w:spacing w:after="40" w:before="40"/>
            </w:pPr>
            <w:r>
              <w:rPr/>
              <w:t>Term</w:t>
            </w:r>
          </w:p>
        </w:tc>
        <w:tc>
          <w:tcPr>
            <w:tcW w:type="dxa" w:w="5256"/>
          </w:tcPr>
          <w:p>
            <w:pPr>
              <w:spacing w:after="40" w:before="40"/>
            </w:pPr>
            <w:r>
              <w:rPr/>
              <w:t>The IDTA starts on the date of the last signature of the agreement to which it is Schedule 1 and continues for as long as either Linked Agreement is in force and the Importer retains any transferred data.</w:t>
            </w:r>
          </w:p>
        </w:tc>
      </w:tr>
      <w:tr>
        <w:tc>
          <w:tcPr>
            <w:tcW w:type="dxa" w:w="5256"/>
          </w:tcPr>
          <w:p>
            <w:pPr>
              <w:spacing w:after="40" w:before="40"/>
            </w:pPr>
            <w:r>
              <w:rPr/>
              <w:t>Ending the IDTA when the Approved IDTA changes</w:t>
            </w:r>
          </w:p>
        </w:tc>
        <w:tc>
          <w:tcPr>
            <w:tcW w:type="dxa" w:w="5256"/>
          </w:tcPr>
          <w:p>
            <w:pPr>
              <w:spacing w:after="40" w:before="40"/>
            </w:pPr>
            <w:r>
              <w:rPr/>
              <w:t>The parties may end this IDTA as set out in the Mandatory Clauses if the Information Commissioner issues a revised Approved IDTA.</w:t>
            </w:r>
          </w:p>
        </w:tc>
      </w:tr>
      <w:tr>
        <w:tc>
          <w:tcPr>
            <w:tcW w:type="dxa" w:w="5256"/>
          </w:tcPr>
          <w:p>
            <w:pPr>
              <w:spacing w:after="40" w:before="40"/>
            </w:pPr>
            <w:r>
              <w:rPr/>
              <w:t>Can the Importer make further transfers of the transferred data?</w:t>
            </w:r>
          </w:p>
        </w:tc>
        <w:tc>
          <w:tcPr>
            <w:tcW w:type="dxa" w:w="5256"/>
          </w:tcPr>
          <w:p>
            <w:pPr>
              <w:spacing w:after="40" w:before="40"/>
            </w:pPr>
            <w:r>
              <w:rPr/>
              <w:t>The Importer may not transfer the data onwards to any other controller, except to the data subject or a person the data subject directs, or as required by law, consistently with clause 12 of the Data Sharing Agreement. The Importer may use its own processors under contracts meeting Article 28 of the UK GDPR.</w:t>
            </w:r>
          </w:p>
        </w:tc>
      </w:tr>
      <w:tr>
        <w:tc>
          <w:tcPr>
            <w:tcW w:type="dxa" w:w="5256"/>
          </w:tcPr>
          <w:p>
            <w:pPr>
              <w:spacing w:after="40" w:before="40"/>
            </w:pPr>
            <w:r>
              <w:rPr/>
              <w:t>Specific restrictions when the Importer may transfer on the transferred data</w:t>
            </w:r>
          </w:p>
        </w:tc>
        <w:tc>
          <w:tcPr>
            <w:tcW w:type="dxa" w:w="5256"/>
          </w:tcPr>
          <w:p>
            <w:pPr>
              <w:spacing w:after="40" w:before="40"/>
            </w:pPr>
            <w:r>
              <w:rPr/>
              <w:t>As above. No sale, list broking or further referral of the data.</w:t>
            </w:r>
          </w:p>
        </w:tc>
      </w:tr>
      <w:tr>
        <w:tc>
          <w:tcPr>
            <w:tcW w:type="dxa" w:w="5256"/>
          </w:tcPr>
          <w:p>
            <w:pPr>
              <w:spacing w:after="40" w:before="40"/>
            </w:pPr>
            <w:r>
              <w:rPr/>
              <w:t>Review dates</w:t>
            </w:r>
          </w:p>
        </w:tc>
        <w:tc>
          <w:tcPr>
            <w:tcW w:type="dxa" w:w="5256"/>
          </w:tcPr>
          <w:p>
            <w:pPr>
              <w:spacing w:after="40" w:before="40"/>
            </w:pPr>
            <w:r>
              <w:rPr/>
              <w:t>The parties will review this IDTA at least annually, alongside the annual review of the Linked Agreement.</w:t>
            </w:r>
          </w:p>
        </w:tc>
      </w:tr>
    </w:tbl>
    <w:p>
      <w:pPr>
        <w:pStyle w:val="Heading2"/>
      </w:pPr>
      <w:r>
        <w:rPr/>
        <w:t>TABLE 3: TRANSFERRED DATA</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Item</w:t>
            </w:r>
          </w:p>
        </w:tc>
        <w:tc>
          <w:tcPr>
            <w:tcW w:type="dxa" w:w="5256"/>
            <w:shd w:val="clear" w:color="auto" w:fill="1F3355"/>
          </w:tcPr>
          <w:p>
            <w:pPr>
              <w:spacing w:after="40" w:before="40"/>
            </w:pPr>
            <w:r>
              <w:rPr>
                <w:b/>
                <w:color w:val="FFFFFF"/>
              </w:rPr>
              <w:t>Detail</w:t>
            </w:r>
          </w:p>
        </w:tc>
      </w:tr>
      <w:tr>
        <w:tc>
          <w:tcPr>
            <w:tcW w:type="dxa" w:w="5256"/>
          </w:tcPr>
          <w:p>
            <w:pPr>
              <w:spacing w:after="40" w:before="40"/>
            </w:pPr>
            <w:r>
              <w:rPr/>
              <w:t>Transferred data</w:t>
            </w:r>
          </w:p>
        </w:tc>
        <w:tc>
          <w:tcPr>
            <w:tcW w:type="dxa" w:w="5256"/>
          </w:tcPr>
          <w:p>
            <w:pPr>
              <w:spacing w:after="40" w:before="40"/>
            </w:pPr>
            <w:r>
              <w:rPr/>
              <w:t>The shared data defined in the Linked Agreement: the enquirer's name, telephone number and email address; the enquiry message and its case type, tier label and one line intent summary; the enquirer's self selected role; the rough geographic area at county or region level; any practice or company name given; verification status and timestamps; the record of the enquirer's responses to verification and follow up messages and any booked callback time; the source site, page and capture surface; the date and time of the enquiry and the referral; the supplier's reference; and the data sharing notice shown at collection.</w:t>
            </w:r>
          </w:p>
        </w:tc>
      </w:tr>
      <w:tr>
        <w:tc>
          <w:tcPr>
            <w:tcW w:type="dxa" w:w="5256"/>
          </w:tcPr>
          <w:p>
            <w:pPr>
              <w:spacing w:after="40" w:before="40"/>
            </w:pPr>
            <w:r>
              <w:rPr/>
              <w:t>Special categories of personal data and criminal convictions and offences</w:t>
            </w:r>
          </w:p>
        </w:tc>
        <w:tc>
          <w:tcPr>
            <w:tcW w:type="dxa" w:w="5256"/>
          </w:tcPr>
          <w:p>
            <w:pPr>
              <w:spacing w:after="40" w:before="40"/>
            </w:pPr>
            <w:r>
              <w:rPr/>
              <w:t>None intended to be collected or transferred. The parties minimise and redact any sensitive detail in free text before sharing.</w:t>
            </w:r>
          </w:p>
        </w:tc>
      </w:tr>
      <w:tr>
        <w:tc>
          <w:tcPr>
            <w:tcW w:type="dxa" w:w="5256"/>
          </w:tcPr>
          <w:p>
            <w:pPr>
              <w:spacing w:after="40" w:before="40"/>
            </w:pPr>
            <w:r>
              <w:rPr/>
              <w:t>Relevant data subjects</w:t>
            </w:r>
          </w:p>
        </w:tc>
        <w:tc>
          <w:tcPr>
            <w:tcW w:type="dxa" w:w="5256"/>
          </w:tcPr>
          <w:p>
            <w:pPr>
              <w:spacing w:after="40" w:before="40"/>
            </w:pPr>
            <w:r>
              <w:rPr/>
              <w:t>People submitting enquiries through the Exporter's websites: individuals, landlords, business owners and others seeking professional advice.</w:t>
            </w:r>
          </w:p>
        </w:tc>
      </w:tr>
      <w:tr>
        <w:tc>
          <w:tcPr>
            <w:tcW w:type="dxa" w:w="5256"/>
          </w:tcPr>
          <w:p>
            <w:pPr>
              <w:spacing w:after="40" w:before="40"/>
            </w:pPr>
            <w:r>
              <w:rPr/>
              <w:t>Purpose</w:t>
            </w:r>
          </w:p>
        </w:tc>
        <w:tc>
          <w:tcPr>
            <w:tcW w:type="dxa" w:w="5256"/>
          </w:tcPr>
          <w:p>
            <w:pPr>
              <w:spacing w:after="40" w:before="40"/>
            </w:pPr>
            <w:r>
              <w:rPr/>
              <w:t>Enabling the Importer to receive and respond to the enquirer's enquiry and provide the advisory services requested, as set out in the Linked Agreement, and the administration of the referral arrangement between the parties.</w:t>
            </w:r>
          </w:p>
        </w:tc>
      </w:tr>
    </w:tbl>
    <w:p>
      <w:pPr>
        <w:pStyle w:val="Heading2"/>
      </w:pPr>
      <w:r>
        <w:rPr/>
        <w:t>TABLE 4: SECURITY REQUIREMENTS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Item</w:t>
            </w:r>
          </w:p>
        </w:tc>
        <w:tc>
          <w:tcPr>
            <w:tcW w:type="dxa" w:w="5256"/>
            <w:shd w:val="clear" w:color="auto" w:fill="1F3355"/>
          </w:tcPr>
          <w:p>
            <w:pPr>
              <w:spacing w:after="40" w:before="40"/>
            </w:pPr>
            <w:r>
              <w:rPr>
                <w:b/>
                <w:color w:val="FFFFFF"/>
              </w:rPr>
              <w:t>Detail</w:t>
            </w:r>
          </w:p>
        </w:tc>
      </w:tr>
      <w:tr>
        <w:tc>
          <w:tcPr>
            <w:tcW w:type="dxa" w:w="5256"/>
          </w:tcPr>
          <w:p>
            <w:pPr>
              <w:spacing w:after="40" w:before="40"/>
            </w:pPr>
            <w:r>
              <w:rPr/>
              <w:t>Security of transmission</w:t>
            </w:r>
          </w:p>
        </w:tc>
        <w:tc>
          <w:tcPr>
            <w:tcW w:type="dxa" w:w="5256"/>
          </w:tcPr>
          <w:p>
            <w:pPr>
              <w:spacing w:after="40" w:before="40"/>
            </w:pPr>
            <w:r>
              <w:rPr/>
              <w:t>Transferred data is sent by a method that encrypts it in transit, such as a TLS secured connection.</w:t>
            </w:r>
          </w:p>
        </w:tc>
      </w:tr>
      <w:tr>
        <w:tc>
          <w:tcPr>
            <w:tcW w:type="dxa" w:w="5256"/>
          </w:tcPr>
          <w:p>
            <w:pPr>
              <w:spacing w:after="40" w:before="40"/>
            </w:pPr>
            <w:r>
              <w:rPr/>
              <w:t>Security of storage</w:t>
            </w:r>
          </w:p>
        </w:tc>
        <w:tc>
          <w:tcPr>
            <w:tcW w:type="dxa" w:w="5256"/>
          </w:tcPr>
          <w:p>
            <w:pPr>
              <w:spacing w:after="40" w:before="40"/>
            </w:pPr>
            <w:r>
              <w:rPr/>
              <w:t>The transferred data is held in systems hosted in the United Kingdom or the European Economic Area, protected by access controls and unique credentials. Personnel accessing the data from outside the United Kingdom do so through authenticated access to those systems, and do not maintain a separate local copy of the dataset.</w:t>
            </w:r>
          </w:p>
        </w:tc>
      </w:tr>
      <w:tr>
        <w:tc>
          <w:tcPr>
            <w:tcW w:type="dxa" w:w="5256"/>
          </w:tcPr>
          <w:p>
            <w:pPr>
              <w:spacing w:after="40" w:before="40"/>
            </w:pPr>
            <w:r>
              <w:rPr/>
              <w:t>Security of processing</w:t>
            </w:r>
          </w:p>
        </w:tc>
        <w:tc>
          <w:tcPr>
            <w:tcW w:type="dxa" w:w="5256"/>
          </w:tcPr>
          <w:p>
            <w:pPr>
              <w:spacing w:after="40" w:before="40"/>
            </w:pPr>
            <w:r>
              <w:rPr/>
              <w:t>Access limited to personnel who need it for the purpose, bound by confidentiality; multi factor authentication on accounts holding the data; devices used to access the data protected by encryption at rest and screen locking.</w:t>
            </w:r>
          </w:p>
        </w:tc>
      </w:tr>
      <w:tr>
        <w:tc>
          <w:tcPr>
            <w:tcW w:type="dxa" w:w="5256"/>
          </w:tcPr>
          <w:p>
            <w:pPr>
              <w:spacing w:after="40" w:before="40"/>
            </w:pPr>
            <w:r>
              <w:rPr/>
              <w:t>Organisational security measures</w:t>
            </w:r>
          </w:p>
        </w:tc>
        <w:tc>
          <w:tcPr>
            <w:tcW w:type="dxa" w:w="5256"/>
          </w:tcPr>
          <w:p>
            <w:pPr>
              <w:spacing w:after="40" w:before="40"/>
            </w:pPr>
            <w:r>
              <w:rPr/>
              <w:t>The security, breach notification, retention and deletion obligations of the Linked Agreement apply to the transferred data. Personal data breaches are notified between the parties without undue delay and within 24 hours.</w:t>
            </w:r>
          </w:p>
        </w:tc>
      </w:tr>
      <w:tr>
        <w:tc>
          <w:tcPr>
            <w:tcW w:type="dxa" w:w="5256"/>
          </w:tcPr>
          <w:p>
            <w:pPr>
              <w:spacing w:after="40" w:before="40"/>
            </w:pPr>
            <w:r>
              <w:rPr/>
              <w:t>Technical security minimum requirements</w:t>
            </w:r>
          </w:p>
        </w:tc>
        <w:tc>
          <w:tcPr>
            <w:tcW w:type="dxa" w:w="5256"/>
          </w:tcPr>
          <w:p>
            <w:pPr>
              <w:spacing w:after="40" w:before="40"/>
            </w:pPr>
            <w:r>
              <w:rPr/>
              <w:t>Encryption in transit for all transmission of the data; no transmission of the dataset over unencrypted channels.</w:t>
            </w:r>
          </w:p>
        </w:tc>
      </w:tr>
      <w:tr>
        <w:tc>
          <w:tcPr>
            <w:tcW w:type="dxa" w:w="5256"/>
          </w:tcPr>
          <w:p>
            <w:pPr>
              <w:spacing w:after="40" w:before="40"/>
            </w:pPr>
            <w:r>
              <w:rPr/>
              <w:t>Updates to the security requirements</w:t>
            </w:r>
          </w:p>
        </w:tc>
        <w:tc>
          <w:tcPr>
            <w:tcW w:type="dxa" w:w="5256"/>
          </w:tcPr>
          <w:p>
            <w:pPr>
              <w:spacing w:after="40" w:before="40"/>
            </w:pPr>
            <w:r>
              <w:rPr/>
              <w:t>The parties will keep these measures under review and update them as needed to remain appropriate to the risk, recording any change in writing.</w:t>
            </w:r>
          </w:p>
        </w:tc>
      </w:tr>
    </w:tbl>
    <w:sectPr w:rsidR="00FC693F" w:rsidRPr="0006063C" w:rsidSect="00034616">
      <w:footerReference w:type="default" r:id="rId9"/>
      <w:pgSz w:w="12240" w:h="15840"/>
      <w:pgMar w:top="864" w:right="864" w:bottom="864" w:left="86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 xml:space="preserve">Lead Generation and Data Sharing Agreement    |    Page </w:t>
    </w:r>
    <w:r>
      <w:rPr>
        <w:rFonts w:ascii="Calibri" w:hAnsi="Calibri"/>
        <w:color w:val="6B7280"/>
        <w:sz w:val="17"/>
      </w:rPr>
      <w:fldChar w:fldCharType="begin"/>
      <w:instrText xml:space="preserve">PAGE</w:instrText>
      <w:fldChar w:fldCharType="end"/>
    </w:r>
    <w:r>
      <w:rPr>
        <w:rFonts w:ascii="Calibri" w:hAnsi="Calibri"/>
        <w:color w:val="6B7280"/>
        <w:sz w:val="17"/>
      </w:rPr>
      <w:t xml:space="preserve"> of </w:t>
    </w:r>
    <w:r>
      <w:rPr>
        <w:rFonts w:ascii="Calibri" w:hAnsi="Calibri"/>
        <w:color w:val="6B7280"/>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5"/>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F3355"/>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val="0"/>
      <w:color w:val="1F3355"/>
      <w:sz w:val="22"/>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1F33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