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Bdr>
          <w:bottom w:val="single" w:sz="8" w:space="8" w:color="8AA0C8"/>
        </w:pBdr>
      </w:pPr>
      <w:r>
        <w:rPr>
          <w:sz w:val="40"/>
        </w:rPr>
        <w:t>LEAD GENERATION AND DATA SHARING AGREEMENT</w:t>
      </w:r>
    </w:p>
    <w:p>
      <w:r>
        <w:rPr>
          <w:b/>
        </w:rPr>
        <w:t>Dated 22 June 2026</w:t>
      </w:r>
    </w:p>
    <w:p>
      <w:pPr>
        <w:pStyle w:val="Heading2"/>
      </w:pPr>
      <w:r>
        <w:rPr/>
        <w:t>PARTIES</w:t>
      </w:r>
    </w:p>
    <w:p>
      <w:r>
        <w:rPr/>
        <w:t xml:space="preserve">(1) </w:t>
      </w:r>
      <w:r>
        <w:rPr>
          <w:b/>
        </w:rPr>
        <w:t>ASHFIELD TRADING LIMITED</w:t>
      </w:r>
      <w:r>
        <w:rPr/>
        <w:t xml:space="preserve"> (company number 16358723), whose registered office is at 20 Ashfield Avenue, Shipley, BD18 3AL, trading as </w:t>
      </w:r>
      <w:r>
        <w:rPr>
          <w:b/>
        </w:rPr>
        <w:t>Property Tax Partners</w:t>
      </w:r>
      <w:r>
        <w:rPr/>
        <w:t xml:space="preserve"> (the </w:t>
      </w:r>
      <w:r>
        <w:rPr>
          <w:b/>
        </w:rPr>
        <w:t>"Supplier"</w:t>
      </w:r>
      <w:r>
        <w:rPr/>
        <w:t>); and</w:t>
      </w:r>
    </w:p>
    <w:p>
      <w:r>
        <w:rPr/>
        <w:t xml:space="preserve">(2) </w:t>
      </w:r>
      <w:r>
        <w:rPr>
          <w:b/>
        </w:rPr>
        <w:t>DJH BUSINESS ADVISERS LIMITED</w:t>
      </w:r>
      <w:r>
        <w:rPr/>
        <w:t xml:space="preserve"> (company number 03451690), whose registered office is at The Glades, Festival Way, Festival Park, Stoke-on-Trent, Staffordshire, ST1 5SQ (the </w:t>
      </w:r>
      <w:r>
        <w:rPr>
          <w:b/>
        </w:rPr>
        <w:t>"Client"</w:t>
      </w:r>
      <w:r>
        <w:rPr/>
        <w:t>),</w:t>
      </w:r>
    </w:p>
    <w:p>
      <w:r>
        <w:rPr/>
        <w:t xml:space="preserve">each a </w:t>
      </w:r>
      <w:r>
        <w:rPr>
          <w:b/>
        </w:rPr>
        <w:t>"party"</w:t>
      </w:r>
      <w:r>
        <w:rPr/>
        <w:t xml:space="preserve"> and together the </w:t>
      </w:r>
      <w:r>
        <w:rPr>
          <w:b/>
        </w:rPr>
        <w:t>"parties"</w:t>
      </w:r>
      <w:r>
        <w:rPr/>
        <w:t>.</w:t>
      </w:r>
    </w:p>
    <w:p>
      <w:pPr>
        <w:pStyle w:val="Heading2"/>
      </w:pPr>
      <w:r>
        <w:rPr/>
        <w:t>BACKGROUND</w:t>
      </w:r>
    </w:p>
    <w:p>
      <w:r>
        <w:rPr/>
        <w:t xml:space="preserve">(A) The Supplier operates the website at propertytaxpartners.co.uk and related digital properties under the brand "Property Tax Partners" (the </w:t>
      </w:r>
      <w:r>
        <w:rPr>
          <w:b/>
        </w:rPr>
        <w:t>"Site"</w:t>
      </w:r>
      <w:r>
        <w:rPr/>
        <w:t>), and wishes to supply the exclusive flow of qualifying enquiries (</w:t>
      </w:r>
      <w:r>
        <w:rPr>
          <w:b/>
        </w:rPr>
        <w:t>"Leads"</w:t>
      </w:r>
      <w:r>
        <w:rPr/>
        <w:t>) from the Site to the Client, a firm of accountants and tax advisers, which wishes to receive them on these terms.</w:t>
      </w:r>
    </w:p>
    <w:p>
      <w:r>
        <w:rPr/>
        <w:t>(B) The Supplier collects each Lead as a controller and, on Delivery, the Client becomes a controller in its own right and decides independently whether and how to respond to and advise the enquirer. The parties share the Lead Data as independent controllers. This is a controller-to-controller data sharing arrangement, not a processor arrangement, and neither party acts as the other's processor.</w:t>
      </w:r>
    </w:p>
    <w:p>
      <w:r>
        <w:rPr/>
        <w:t>(C) The Supplier does not guarantee that any Lead will respond, engage or become a client. It warrants the exclusive flow of Leads meeting the agreed definition, and nothing more.</w:t>
      </w:r>
    </w:p>
    <w:p>
      <w:r>
        <w:rPr>
          <w:b/>
        </w:rPr>
        <w:t>IT IS AGREED</w:t>
      </w:r>
      <w:r>
        <w:rPr/>
        <w:t xml:space="preserve"> as follows.</w:t>
      </w:r>
    </w:p>
    <w:p>
      <w:pPr>
        <w:pStyle w:val="Heading2"/>
      </w:pPr>
      <w:r>
        <w:rPr/>
        <w:t>1. DEFINITIONS AND INTERPRETATION</w:t>
      </w:r>
    </w:p>
    <w:p>
      <w:r>
        <w:rPr/>
        <w:t>1.1 In this Agreement:</w:t>
      </w:r>
    </w:p>
    <w:p>
      <w:r>
        <w:rPr>
          <w:b/>
        </w:rPr>
        <w:t>"Charges"</w:t>
      </w:r>
      <w:r>
        <w:rPr/>
        <w:t xml:space="preserve"> means the fees payable under clause 6 and Schedule 1.</w:t>
      </w:r>
    </w:p>
    <w:p>
      <w:r>
        <w:rPr>
          <w:b/>
        </w:rPr>
        <w:t>"Commencement Date"</w:t>
      </w:r>
      <w:r>
        <w:rPr/>
        <w:t xml:space="preserve"> means the date stated in Schedule 1 or, if none, the date of this Agreement.</w:t>
      </w:r>
    </w:p>
    <w:p>
      <w:r>
        <w:rPr>
          <w:b/>
        </w:rPr>
        <w:t>"Commissioner"</w:t>
      </w:r>
      <w:r>
        <w:rPr/>
        <w:t xml:space="preserve"> means the Information Commissioner and the Information Commission established under the Data (Use and Access) Act 2025.</w:t>
      </w:r>
    </w:p>
    <w:p>
      <w:r>
        <w:rPr>
          <w:b/>
        </w:rPr>
        <w:t>"Data Protection Legislation"</w:t>
      </w:r>
      <w:r>
        <w:rPr/>
        <w:t xml:space="preserve"> means the UK GDPR, the Data Protection Act 2018 (as amended by the Data (Use and Access) Act 2025), the Privacy and Electronic Communications (EC Directive) Regulations 2003 (</w:t>
      </w:r>
      <w:r>
        <w:rPr>
          <w:b/>
        </w:rPr>
        <w:t>"PECR"</w:t>
      </w:r>
      <w:r>
        <w:rPr/>
        <w:t xml:space="preserve">), and other applicable law, codes and guidance, as amended from time to time. </w:t>
      </w:r>
      <w:r>
        <w:rPr>
          <w:b/>
        </w:rPr>
        <w:t>"Controller"</w:t>
      </w:r>
      <w:r>
        <w:rPr/>
        <w:t xml:space="preserve">, </w:t>
      </w:r>
      <w:r>
        <w:rPr>
          <w:b/>
        </w:rPr>
        <w:t>"Personal Data"</w:t>
      </w:r>
      <w:r>
        <w:rPr/>
        <w:t xml:space="preserve">, </w:t>
      </w:r>
      <w:r>
        <w:rPr>
          <w:b/>
        </w:rPr>
        <w:t>"Personal Data Breach"</w:t>
      </w:r>
      <w:r>
        <w:rPr/>
        <w:t xml:space="preserve">, </w:t>
      </w:r>
      <w:r>
        <w:rPr>
          <w:b/>
        </w:rPr>
        <w:t>"process"</w:t>
      </w:r>
      <w:r>
        <w:rPr/>
        <w:t xml:space="preserve"> and related terms have the meanings given there.</w:t>
      </w:r>
    </w:p>
    <w:p>
      <w:r>
        <w:rPr>
          <w:b/>
        </w:rPr>
        <w:t>"Delivery"</w:t>
      </w:r>
      <w:r>
        <w:rPr/>
        <w:t xml:space="preserve"> means transmission of a Lead to the Nominated Address under clause 3 ("Deliver" and "Delivered" are construed accordingly).</w:t>
      </w:r>
    </w:p>
    <w:p>
      <w:r>
        <w:rPr>
          <w:b/>
        </w:rPr>
        <w:t>"Delivery Log"</w:t>
      </w:r>
      <w:r>
        <w:rPr/>
        <w:t xml:space="preserve"> means the Supplier's log of Leads Delivered, kept under clause 3.2.</w:t>
      </w:r>
    </w:p>
    <w:p>
      <w:r>
        <w:rPr>
          <w:b/>
        </w:rPr>
        <w:t>"DJH Group"</w:t>
      </w:r>
      <w:r>
        <w:rPr/>
        <w:t xml:space="preserve"> means the Client and its group undertakings from time to time (group undertaking having the meaning given in section 1161 of the Companies Act 2006), being the corporate group of which the Client forms part.</w:t>
      </w:r>
    </w:p>
    <w:p>
      <w:r>
        <w:rPr>
          <w:b/>
        </w:rPr>
        <w:t>"Lead"</w:t>
      </w:r>
      <w:r>
        <w:rPr/>
        <w:t xml:space="preserve"> means an enquiry submitted or captured through the Site.</w:t>
      </w:r>
    </w:p>
    <w:p>
      <w:r>
        <w:rPr>
          <w:b/>
        </w:rPr>
        <w:t>"Lead Data"</w:t>
      </w:r>
      <w:r>
        <w:rPr/>
        <w:t xml:space="preserve"> means the Personal Data comprised in a Lead, as specified in Annex A.</w:t>
      </w:r>
    </w:p>
    <w:p>
      <w:r>
        <w:rPr>
          <w:b/>
        </w:rPr>
        <w:t>"Lead Fee"</w:t>
      </w:r>
      <w:r>
        <w:rPr/>
        <w:t xml:space="preserve"> means £85 per Qualifying Lead, as set out in Schedule 1.</w:t>
      </w:r>
    </w:p>
    <w:p>
      <w:r>
        <w:rPr>
          <w:b/>
        </w:rPr>
        <w:t>"Nominated Address"</w:t>
      </w:r>
      <w:r>
        <w:rPr/>
        <w:t xml:space="preserve"> means the email address or delivery endpoint nominated by the Client in Schedule 1 for receiving Leads (as updated in writing).</w:t>
      </w:r>
    </w:p>
    <w:p>
      <w:r>
        <w:rPr>
          <w:b/>
        </w:rPr>
        <w:t>"Permitted Purpose"</w:t>
      </w:r>
      <w:r>
        <w:rPr/>
        <w:t xml:space="preserve"> has the meaning given in Schedule 2, paragraph 1.</w:t>
      </w:r>
    </w:p>
    <w:p>
      <w:r>
        <w:rPr>
          <w:b/>
        </w:rPr>
        <w:t>"Qualifying Lead"</w:t>
      </w:r>
      <w:r>
        <w:rPr/>
        <w:t xml:space="preserve"> means a Lead meeting clause 5.1, which is billable on Delivery subject to the credits in clause 5.</w:t>
      </w:r>
    </w:p>
    <w:p>
      <w:r>
        <w:rPr>
          <w:b/>
        </w:rPr>
        <w:t>"Term"</w:t>
      </w:r>
      <w:r>
        <w:rPr/>
        <w:t xml:space="preserve"> means the term of this Agreement under clause 2.</w:t>
      </w:r>
    </w:p>
    <w:p>
      <w:r>
        <w:rPr>
          <w:b/>
        </w:rPr>
        <w:t>"UK GDPR"</w:t>
      </w:r>
      <w:r>
        <w:rPr/>
        <w:t xml:space="preserve"> has the meaning given in section 3(10) of the Data Protection Act 2018.</w:t>
      </w:r>
    </w:p>
    <w:p>
      <w:r>
        <w:rPr>
          <w:b/>
        </w:rPr>
        <w:t>"Working Day"</w:t>
      </w:r>
      <w:r>
        <w:rPr/>
        <w:t xml:space="preserve"> means a day other than a Saturday, Sunday or public holiday in England when banks in London are open.</w:t>
      </w:r>
    </w:p>
    <w:p>
      <w:r>
        <w:rPr/>
        <w:t>1.2 Headings do not affect interpretation; "including" is without limitation; "writing" includes email; and a reference to a statute includes its amendments and subordinate legislation. If the body of this Agreement and a Schedule conflict, the body prevails, except that Schedule 2 prevails on any matter concerning the processing of Personal Data.</w:t>
      </w:r>
    </w:p>
    <w:p>
      <w:pPr>
        <w:pStyle w:val="Heading2"/>
      </w:pPr>
      <w:r>
        <w:rPr/>
        <w:t>2. TERM</w:t>
      </w:r>
    </w:p>
    <w:p>
      <w:r>
        <w:rPr/>
        <w:t>2.1 This Agreement begins on the Commencement Date and continues on a rolling basis, with no minimum term, until terminated under clause 15.</w:t>
      </w:r>
    </w:p>
    <w:p>
      <w:pPr>
        <w:pStyle w:val="Heading2"/>
      </w:pPr>
      <w:r>
        <w:rPr/>
        <w:t>3. SERVICE AND DELIVERY</w:t>
      </w:r>
    </w:p>
    <w:p>
      <w:r>
        <w:rPr/>
        <w:t>3.1 During the Term the Supplier will Deliver to the Client the Qualifying Leads generated by the Site, by forwarding each to the Nominated Address (automatically, or by the Supplier forwarding it on) promptly after submission.</w:t>
      </w:r>
    </w:p>
    <w:p>
      <w:r>
        <w:rPr/>
        <w:t>3.2 The Supplier will keep an accurate Delivery Log recording, for each Lead, the date and time of Delivery and a reference. The Delivery Log is the basis for invoicing under clause 6, is retained for at least 24 months, and relevant extracts are available to the Client on reasonable request.</w:t>
      </w:r>
    </w:p>
    <w:p>
      <w:r>
        <w:rPr/>
        <w:t>3.3 The Client will keep the Nominated Address operational and able to receive Leads. The Supplier is not responsible for a Delivery failure caused by the Client's systems, mailbox or filtering.</w:t>
      </w:r>
    </w:p>
    <w:p>
      <w:r>
        <w:rPr/>
        <w:t>3.4 The Supplier will use reasonable endeavours to keep the Site available and to Deliver Qualifying Leads promptly, but does not warrant any volume, frequency, timing, value or conversion of Leads.</w:t>
      </w:r>
    </w:p>
    <w:p>
      <w:r>
        <w:rPr/>
        <w:t>3.5 The Supplier will transmit Leads by the secure method described in Schedule 2, and will not Deliver a Lead where the lawful basis required by Schedule 2 is absent, or where the enquirer has objected to the sharing under Article 21 of the UK GDPR or withdrawn any consent relied on.</w:t>
      </w:r>
    </w:p>
    <w:p>
      <w:pPr>
        <w:pStyle w:val="Heading2"/>
      </w:pPr>
      <w:r>
        <w:rPr/>
        <w:t>4. EXCLUSIVITY</w:t>
      </w:r>
    </w:p>
    <w:p>
      <w:r>
        <w:rPr/>
        <w:t>4.1 During the Term the Supplier will Deliver each Qualifying Lead generated by the Site to the Client only, and will not sell, license or make the same Leads available to anyone else.</w:t>
      </w:r>
    </w:p>
    <w:p>
      <w:r>
        <w:rPr/>
        <w:t>4.2 Exclusivity relates to the Site's output. It does not prevent the Supplier owning or operating any other website, brand or business (including other lead-generation sites), except that during the Term the Supplier will not operate another property-tax enquiry website under a brand confusingly similar to "Property Tax Partners" whose leads are supplied to a firm competing with the Client.</w:t>
      </w:r>
    </w:p>
    <w:p>
      <w:r>
        <w:rPr/>
        <w:t>4.3 Exclusivity is conditional on payment. If any undisputed sum is overdue, the Supplier may suspend Exclusivity and/or Delivery under clause 7 and, while the suspension continues, supply Qualifying Leads to any other person without breach of this Agreement and without liability to the Client.</w:t>
      </w:r>
    </w:p>
    <w:p>
      <w:r>
        <w:rPr/>
        <w:t>4.4 On expiry or termination, Exclusivity ends immediately and the Supplier is free to supply the Site's Lead flow to anyone.</w:t>
      </w:r>
    </w:p>
    <w:p>
      <w:pPr>
        <w:pStyle w:val="Heading2"/>
      </w:pPr>
      <w:r>
        <w:rPr/>
        <w:t>5. QUALIFYING LEADS AND CREDITS</w:t>
      </w:r>
    </w:p>
    <w:p>
      <w:r>
        <w:rPr/>
        <w:t xml:space="preserve">5.1 A Lead is a </w:t>
      </w:r>
      <w:r>
        <w:rPr>
          <w:b/>
        </w:rPr>
        <w:t>Qualifying Lead</w:t>
      </w:r>
      <w:r>
        <w:rPr/>
        <w:t xml:space="preserve"> if, at the time of Delivery, it: (a) is a genuine property-tax enquiry; (b) was submitted or captured through the Site by the enquirer; (c) carries the enquirer's name together with an email address and/or telephone number in valid format (a written message is not required); and (d) is Delivered to the Nominated Address with the lawful basis for sharing required by Schedule 2. Whether the contact details prove functional is not a condition of qualification; non-functional details give rise only to the credit in clause 5.4(d).</w:t>
      </w:r>
    </w:p>
    <w:p>
      <w:r>
        <w:rPr/>
        <w:t xml:space="preserve">5.2 </w:t>
      </w:r>
      <w:r>
        <w:rPr>
          <w:b/>
        </w:rPr>
        <w:t>A Qualifying Lead is billable on Delivery.</w:t>
      </w:r>
      <w:r>
        <w:rPr/>
        <w:t xml:space="preserve"> The Lead Fee is earned and payable on Delivery and is not contingent on whether the enquirer responds, is contactable, engages, attends a meeting, accepts a proposal, becomes a client, or generates revenue.</w:t>
      </w:r>
    </w:p>
    <w:p>
      <w:r>
        <w:rPr/>
        <w:t>5.3 The Supplier may apply filtering to reduce obvious spam and out-of-scope submissions, but does not verify the truth, accuracy or completeness of what an enquirer provides.</w:t>
      </w:r>
    </w:p>
    <w:p>
      <w:r>
        <w:rPr/>
        <w:t xml:space="preserve">5.4 Within </w:t>
      </w:r>
      <w:r>
        <w:rPr>
          <w:b/>
        </w:rPr>
        <w:t>3 Working Days</w:t>
      </w:r>
      <w:r>
        <w:rPr/>
        <w:t xml:space="preserve"> of Delivery, the Client may flag a Lead as a </w:t>
      </w:r>
      <w:r>
        <w:rPr>
          <w:b/>
        </w:rPr>
        <w:t>Rejected Lead</w:t>
      </w:r>
      <w:r>
        <w:rPr/>
        <w:t xml:space="preserve"> on these grounds only: (a) it is spam or bot-generated; (b) it duplicates a Lead Delivered in the previous 30 days (same enquirer, substantially the same enquiry); (c) it is clearly outside property tax; or (d) the contact details are non-functional, in that the email hard-bounces and/or the telephone number is unobtainable or invalid, so the enquirer cannot be contacted by any supplied channel.</w:t>
      </w:r>
    </w:p>
    <w:p>
      <w:r>
        <w:rPr/>
        <w:t>5.5 A flag must be made in writing to the Supplier's contact in Schedule 1, identify the Lead by its Delivery Log reference, state the ground relied on and include brief supporting evidence. A late, unsupported or otherwise-grounded flag is not valid.</w:t>
      </w:r>
    </w:p>
    <w:p>
      <w:r>
        <w:rPr/>
        <w:t>5.6 The Supplier will review each valid flag reasonably and in good faith. If the Supplier accepts a flag (or does not respond within 5 Working Days of a valid, evidenced flag, in which case it is treated as accepted), the Lead Fee is credited against the next invoice (or, if none is due, refunded within 30 days). On a final invoice, where the Client has validly flagged a Lead not yet reviewed, the Client may withhold that Lead Fee pending review, any amount then found payable being due within 5 Working Days.</w:t>
      </w:r>
    </w:p>
    <w:p>
      <w:r>
        <w:rPr/>
        <w:t xml:space="preserve">5.7 Except as provided in this clause 5, the Client has </w:t>
      </w:r>
      <w:r>
        <w:rPr>
          <w:b/>
        </w:rPr>
        <w:t>no right to unilaterally withhold, set off or reduce</w:t>
      </w:r>
      <w:r>
        <w:rPr/>
        <w:t xml:space="preserve"> payment of the Lead Fee for any Delivered Qualifying Lead, and no ground other than clause 5.4 entitles it to a credit. The Client may still raise a genuine, good-faith query under clause 5.8 or clause 7.3. Even so, each Lead Fee stays payable on its due date while a query is being discussed. The only exception is an amount that is validly disputed under clause 7.3.</w:t>
      </w:r>
    </w:p>
    <w:p>
      <w:r>
        <w:rPr/>
        <w:t xml:space="preserve">5.8 </w:t>
      </w:r>
      <w:r>
        <w:rPr>
          <w:b/>
        </w:rPr>
        <w:t>No-message Leads.</w:t>
      </w:r>
      <w:r>
        <w:rPr/>
        <w:t xml:space="preserve"> A Lead Delivered without an enquiry message is still a Qualifying Lead billable under clause 5.2. However, if the Client considers in good faith that the Lead Fee is not fair value for a particular no-message Lead (or an identified group), it may raise this in writing within 5 Working Days of Delivery, identifying the Leads, and the parties will discuss in good faith and acting reasonably whether a reduced fee or a credit is appropriate. Any reduction takes effect only as agreed in writing; pending agreement the Lead Fee remains payable.</w:t>
      </w:r>
    </w:p>
    <w:p>
      <w:pPr>
        <w:pStyle w:val="Heading2"/>
      </w:pPr>
      <w:r>
        <w:rPr/>
        <w:t>6. CHARGES, INVOICING AND PAYMENT</w:t>
      </w:r>
    </w:p>
    <w:p>
      <w:r>
        <w:rPr/>
        <w:t>6.1 The Client will pay the Lead Fee for each Qualifying Lead Delivered, calculated from the Delivery Log, together with any other Charges in Schedule 1.</w:t>
      </w:r>
    </w:p>
    <w:p>
      <w:r>
        <w:rPr/>
        <w:t xml:space="preserve">6.2 </w:t>
      </w:r>
      <w:r>
        <w:rPr>
          <w:b/>
        </w:rPr>
        <w:t>VAT.</w:t>
      </w:r>
      <w:r>
        <w:rPr/>
        <w:t xml:space="preserve"> Charges are exclusive of VAT. The Supplier is not currently registered for VAT, so no VAT is chargeable as at the Commencement Date. If the Supplier becomes registered, it may add VAT at the prevailing rate against a valid VAT invoice.</w:t>
      </w:r>
    </w:p>
    <w:p>
      <w:r>
        <w:rPr/>
        <w:t xml:space="preserve">6.3 The Supplier will invoice monthly in arrears in accordance with Schedule 1. Each invoice states the number of Qualifying Leads Delivered in the Billing Period, the Lead Fee, any credits for Rejected Leads and the total payable, and is accompanied by an itemised </w:t>
      </w:r>
      <w:r>
        <w:rPr>
          <w:b/>
        </w:rPr>
        <w:t>Lead Statement</w:t>
      </w:r>
      <w:r>
        <w:rPr/>
        <w:t xml:space="preserve"> (drawn from the Delivery Log) listing each Lead billed with its Delivery Log reference and the date and time of Delivery.</w:t>
      </w:r>
    </w:p>
    <w:p>
      <w:r>
        <w:rPr/>
        <w:t xml:space="preserve">6.4 The Client will pay each invoice in full and in cleared funds within </w:t>
      </w:r>
      <w:r>
        <w:rPr>
          <w:b/>
        </w:rPr>
        <w:t>14 days</w:t>
      </w:r>
      <w:r>
        <w:rPr/>
        <w:t xml:space="preserve"> of its date, without set-off, deduction or withholding except as required by law or as permitted by clause 5 (credits) or clause 7.3 (genuinely disputed sums).</w:t>
      </w:r>
    </w:p>
    <w:p>
      <w:r>
        <w:rPr/>
        <w:t xml:space="preserve">6.5 </w:t>
      </w:r>
      <w:r>
        <w:rPr>
          <w:b/>
        </w:rPr>
        <w:t>Records and reconciliation.</w:t>
      </w:r>
      <w:r>
        <w:rPr/>
        <w:t xml:space="preserve"> The Client will keep its own record of the Leads it receives. Within 10 Working Days of each invoice and Lead Statement, the Client will notify the Supplier in writing of any discrepancy (for example, a billed Lead it has no record of receiving, or one counted more than once), identifying the affected Leads; the parties will reconcile in good faith and any agreed over-charge is credited or refunded. Absent a timely, substantiated notice, the Delivery Log is the agreed record for that Billing Period.</w:t>
      </w:r>
    </w:p>
    <w:p>
      <w:r>
        <w:rPr/>
        <w:t xml:space="preserve">6.6 </w:t>
      </w:r>
      <w:r>
        <w:rPr>
          <w:b/>
        </w:rPr>
        <w:t>Audit.</w:t>
      </w:r>
      <w:r>
        <w:rPr/>
        <w:t xml:space="preserve"> No more than twice in any 12-month period, on reasonable written notice and under confidentiality, the Client (or its auditors) may inspect the Delivery Log and the Supplier's lawful-basis and consent records for the preceding 12 months, to verify the invoiced count and the warranty in clause 8.4. The Client bears its own costs, unless a material discrepancy or non-compliance is found, in which case the Supplier bears the reasonable cost.</w:t>
      </w:r>
    </w:p>
    <w:p>
      <w:pPr>
        <w:pStyle w:val="Heading2"/>
      </w:pPr>
      <w:r>
        <w:rPr/>
        <w:t>7. LATE PAYMENT AND SUSPENSION</w:t>
      </w:r>
    </w:p>
    <w:p>
      <w:r>
        <w:rPr/>
        <w:t>7.1 If the Client fails to pay any undisputed sum when due, interest accrues on the overdue amount at 8% per year above the Bank of England base rate from the due date until payment (before and after judgment). This is equal to, and in satisfaction of, statutory interest under the Late Payment of Commercial Debts (Interest) Act 1998; the Supplier is also entitled to the fixed-sum compensation and reasonable recovery costs under that Act. Nothing in this Agreement reduces the Supplier's statutory rights under that Act.</w:t>
      </w:r>
    </w:p>
    <w:p>
      <w:r>
        <w:rPr/>
        <w:t xml:space="preserve">7.2 If an undisputed sum remains unpaid more than </w:t>
      </w:r>
      <w:r>
        <w:rPr>
          <w:b/>
        </w:rPr>
        <w:t>10 Working Days</w:t>
      </w:r>
      <w:r>
        <w:rPr/>
        <w:t xml:space="preserve"> after the Supplier gives written notice, the Supplier may suspend Delivery and/or Exclusivity until all overdue sums (with interest) are paid. A valid suspension is not a breach by the Supplier and the Supplier has no liability for it; during it the Supplier may supply the Lead flow to others.</w:t>
      </w:r>
    </w:p>
    <w:p>
      <w:r>
        <w:rPr/>
        <w:t>7.3 Clauses 7.1 and 7.2 apply to undisputed sums only. The Client must notify any genuine, good-faith invoice dispute within 10 Working Days of receipt, giving reasons. Clauses 7.2 and 15.2 do not apply to the disputed portion while it is resolved in good faith, and the Client must pay the undisputed balance when due.</w:t>
      </w:r>
    </w:p>
    <w:p>
      <w:pPr>
        <w:pStyle w:val="Heading2"/>
      </w:pPr>
      <w:r>
        <w:rPr/>
        <w:t>8. DATA PROTECTION</w:t>
      </w:r>
    </w:p>
    <w:p>
      <w:r>
        <w:rPr/>
        <w:t>8.1 Each party will comply with the Data Protection Legislation in respect of its own processing of the Lead Data. This clause and Schedule 2 are in addition to those obligations.</w:t>
      </w:r>
    </w:p>
    <w:p>
      <w:r>
        <w:rPr/>
        <w:t xml:space="preserve">8.2 The Supplier is the Controller of the Lead Data up to Delivery; the Client becomes a Controller on Delivery. The parties share the Lead Data as </w:t>
      </w:r>
      <w:r>
        <w:rPr>
          <w:b/>
        </w:rPr>
        <w:t>independent Controllers</w:t>
      </w:r>
      <w:r>
        <w:rPr/>
        <w:t>, and neither is the other's Processor.</w:t>
      </w:r>
    </w:p>
    <w:p>
      <w:r>
        <w:rPr/>
        <w:t xml:space="preserve">8.3 The detailed data protection obligations are in </w:t>
      </w:r>
      <w:r>
        <w:rPr>
          <w:b/>
        </w:rPr>
        <w:t>Schedule 2</w:t>
      </w:r>
      <w:r>
        <w:rPr/>
        <w:t xml:space="preserve"> and its Annexes, which both parties will comply with.</w:t>
      </w:r>
    </w:p>
    <w:p>
      <w:r>
        <w:rPr/>
        <w:t>8.4 The Supplier warrants that, for each Lead it Delivers, it has a valid lawful basis to share the Lead Data with the Client for the Permitted Purpose, has provided the enquirer with the transparency information Schedule 2 requires, and holds any consent required; and that it will not Deliver a Lead where the required basis is absent, or where the enquirer has objected under Article 21 or withdrawn any consent relied on. The Client warrants that it will process the Lead Data only in accordance with Schedule 2 and the Data Protection Legislation.</w:t>
      </w:r>
    </w:p>
    <w:p>
      <w:r>
        <w:rPr/>
        <w:t xml:space="preserve">8.5 </w:t>
      </w:r>
      <w:r>
        <w:rPr>
          <w:b/>
        </w:rPr>
        <w:t>Transfer of responsibility on Delivery.</w:t>
      </w:r>
      <w:r>
        <w:rPr/>
        <w:t xml:space="preserve"> From Delivery of a Lead to the Nominated Address, the Client is responsible, as Controller, for that Lead Data, including its storage, security, retention, use and onward processing. The Supplier is not responsible or liable for the Client's handling of the Lead Data after Delivery. This does not relieve the Supplier of liability for its own breach of clause 8 and Schedule 2 up to and including Delivery (for example, sharing a Lead without a valid lawful basis).</w:t>
      </w:r>
    </w:p>
    <w:p>
      <w:r>
        <w:rPr/>
        <w:t xml:space="preserve">8.6 </w:t>
      </w:r>
      <w:r>
        <w:rPr>
          <w:b/>
        </w:rPr>
        <w:t>The Client's group.</w:t>
      </w:r>
      <w:r>
        <w:rPr/>
        <w:t xml:space="preserve"> The Client contracts as a single principal and is the only DJH Group entity that is a party to, and responsible to the Supplier under, this Agreement. The Supplier acknowledges that the Client is part of the DJH Group and that the Client, once it becomes Controller on Delivery, may share the Lead Data within the DJH Group for the Permitted Purpose. Any such sharing is the Client's own responsibility as receiving Controller, is part of the Client's onward processing under clause 8.5, and the Client remains solely answerable to the Supplier for it (including under clause 8.4 and the indemnity in clause 12) as if it were the Client's own act. Nothing in this clause makes any other DJH Group entity a party to this Agreement, makes the Supplier responsible or liable for any onward processing within the DJH Group, or increases the Supplier's obligations or liability; the Supplier's responsibility ends on Delivery under clause 8.5.</w:t>
      </w:r>
    </w:p>
    <w:p>
      <w:pPr>
        <w:pStyle w:val="Heading2"/>
      </w:pPr>
      <w:r>
        <w:rPr/>
        <w:t>9. INTELLECTUAL PROPERTY AND NON-CIRCUMVENTION</w:t>
      </w:r>
    </w:p>
    <w:p>
      <w:r>
        <w:rPr/>
        <w:t>9.1 As between the parties, the Supplier owns and retains all right, title and interest (including intellectual property rights) in the Site, its content, the "Property Tax Partners" brand, and the systems and database used to generate, collect, filter and Deliver Leads. On Delivery, the Client receives only the right to use the Delivered Lead Data to respond to and serve the relevant enquirer, in accordance with Schedule 2. The Client will not scrape, copy, resell, sub-license or transfer the Site's content or the Lead flow, or use the Supplier's brands except as agreed in writing. This clause governs ownership as between the parties only and does not affect either party's status as a Controller or any data subject's rights.</w:t>
      </w:r>
    </w:p>
    <w:p>
      <w:r>
        <w:rPr/>
        <w:t xml:space="preserve">9.2 </w:t>
      </w:r>
      <w:r>
        <w:rPr>
          <w:b/>
        </w:rPr>
        <w:t>Non-circumvention and non-solicitation.</w:t>
      </w:r>
      <w:r>
        <w:rPr/>
        <w:t xml:space="preserve"> During the Term and for 12 months after it ends: (a) the Client will not, directly or indirectly, structure any arrangement to obtain the benefit of the Site's Leads otherwise than under this Agreement, or to avoid the Lead Fee (this does not restrict the Client from acting for a person who independently is or becomes its client); and (b) neither party will knowingly solicit or entice away any employee of the other materially involved in this Agreement (general recruitment advertising not targeted at such individuals, and engaging anyone who responds to it or approaches independently, is permitted). These restrictions are limited to what is reasonable to protect the parties' legitimate interests.</w:t>
      </w:r>
    </w:p>
    <w:p>
      <w:pPr>
        <w:pStyle w:val="Heading2"/>
      </w:pPr>
      <w:r>
        <w:rPr/>
        <w:t>10. WARRANTIES</w:t>
      </w:r>
    </w:p>
    <w:p>
      <w:r>
        <w:rPr/>
        <w:t>10.1 Each party warrants that it has the authority to enter into and perform this Agreement and that it is duly executed and binding on it.</w:t>
      </w:r>
    </w:p>
    <w:p>
      <w:r>
        <w:rPr/>
        <w:t>10.2 Each party warrants that throughout the Term it will comply with the Data Protection Legislation and Schedule 2 and, to the extent required, is or will be registered with, and has paid or will pay the data protection fee to, the Commissioner before the first Delivery, will maintain that registration, and will provide its registration reference to the other party on request. Registration is a warranty and continuing obligation only; it is not a condition of signing this Agreement, and a party's registration reference need not be stated in this Agreement.</w:t>
      </w:r>
    </w:p>
    <w:p>
      <w:r>
        <w:rPr/>
        <w:t>10.3 The Supplier's warranties are limited to those expressly stated. It warrants only that (a) it will Deliver Qualifying Leads exclusively to the Client under clause 4, and (b) Leads it bills as Qualifying Leads meet clause 5.1. It gives no warranty as to volume, frequency, timing, value, conversion or revenue.</w:t>
      </w:r>
    </w:p>
    <w:p>
      <w:r>
        <w:rPr/>
        <w:t>10.4 The Client warrants that it can lawfully provide property-tax and accountancy services in the United Kingdom, that the information it has given in this Agreement is accurate, and that it will deal with enquirers professionally and lawfully. Before the first Delivery, the Client will confirm in writing that its published privacy notice names DJH Business Advisers Limited as the receiving Controller and describes the partner lead-generation source (Schedule 2, paragraph 5).</w:t>
      </w:r>
    </w:p>
    <w:p>
      <w:r>
        <w:rPr/>
        <w:t>10.5 The Client represents, as at the Commencement Date, that it is registered for VAT (number 433279492), is an ICAEW member firm (number C009116035) and holds B-Corp certification, and will notify any material change. These are the Client's representations and have not been independently verified by the Supplier.</w:t>
      </w:r>
    </w:p>
    <w:p>
      <w:r>
        <w:rPr/>
        <w:t>10.6 Except as expressly stated, all warranties and terms implied by statute or common law are excluded to the fullest extent permitted by law.</w:t>
      </w:r>
    </w:p>
    <w:p>
      <w:pPr>
        <w:pStyle w:val="Heading2"/>
      </w:pPr>
      <w:r>
        <w:rPr/>
        <w:t>11. LIMITATION OF LIABILITY</w:t>
      </w:r>
    </w:p>
    <w:p>
      <w:r>
        <w:rPr/>
        <w:t>11.1 This clause sets out each party's entire liability under this Agreement. It does not limit the Client's obligation to pay the Charges.</w:t>
      </w:r>
    </w:p>
    <w:p>
      <w:r>
        <w:rPr/>
        <w:t>11.2 Nothing in this Agreement limits or excludes liability for: (a) death or personal injury caused by negligence; (b) fraud or fraudulent misrepresentation; or (c) any other liability that cannot be limited or excluded by law (including a data subject's rights and a Controller's liability to the Commissioner).</w:t>
      </w:r>
    </w:p>
    <w:p>
      <w:r>
        <w:rPr/>
        <w:t>11.3 Subject to clause 11.2, neither party is liable for indirect or consequential loss. This includes loss of profit, revenue, anticipated savings, business, opportunity, goodwill or reputation, but only where that loss is itself indirect or consequential.</w:t>
      </w:r>
    </w:p>
    <w:p>
      <w:r>
        <w:rPr/>
        <w:t xml:space="preserve">11.4 Subject to clauses 11.2 and 11.5, each party's total aggregate liability under this Agreement is limited to the greater of </w:t>
      </w:r>
      <w:r>
        <w:rPr>
          <w:b/>
        </w:rPr>
        <w:t>£10,000</w:t>
      </w:r>
      <w:r>
        <w:rPr/>
        <w:t xml:space="preserve"> and the total Charges paid by the Client in the </w:t>
      </w:r>
      <w:r>
        <w:rPr>
          <w:b/>
        </w:rPr>
        <w:t>12</w:t>
      </w:r>
      <w:r>
        <w:rPr/>
        <w:t xml:space="preserve"> months before the claim first arose. The Client's obligation to pay the Charges properly due is not subject to this cap.</w:t>
      </w:r>
    </w:p>
    <w:p>
      <w:r>
        <w:rPr/>
        <w:t xml:space="preserve">11.5 The cap in clause 11.4 does not apply to liability under the data protection indemnity in clause 12. That liability has its own separate </w:t>
      </w:r>
      <w:r>
        <w:rPr>
          <w:b/>
        </w:rPr>
        <w:t>super-cap</w:t>
      </w:r>
      <w:r>
        <w:rPr/>
        <w:t xml:space="preserve"> instead. The super-cap is the greater of: (a) </w:t>
      </w:r>
      <w:r>
        <w:rPr>
          <w:b/>
        </w:rPr>
        <w:t>£100,000</w:t>
      </w:r>
      <w:r>
        <w:rPr/>
        <w:t>; or (b) the indemnifying party's relevant insurance limit available to meet the claim.</w:t>
      </w:r>
    </w:p>
    <w:p>
      <w:r>
        <w:rPr/>
        <w:t>11.6 Each party will use reasonable endeavours to mitigate its losses. The caps apply to the aggregate of all claims, and the parties agree the limitations in this clause are reasonable.</w:t>
      </w:r>
    </w:p>
    <w:p>
      <w:pPr>
        <w:pStyle w:val="Heading2"/>
      </w:pPr>
      <w:r>
        <w:rPr/>
        <w:t>12. INDEMNITIES</w:t>
      </w:r>
    </w:p>
    <w:p>
      <w:r>
        <w:rPr/>
        <w:t xml:space="preserve">12.1 Each party (the </w:t>
      </w:r>
      <w:r>
        <w:rPr>
          <w:b/>
        </w:rPr>
        <w:t>indemnifier</w:t>
      </w:r>
      <w:r>
        <w:rPr/>
        <w:t>) will indemnify the other against losses, liabilities and reasonable costs, including compensation the other has to pay to data subjects and any fine the Commissioner imposes on the other. This applies to the extent the loss arises from either: (a) the indemnifier's breach of its data protection obligations under clause 8 and Schedule 2; or (b) where the indemnifier is the Client, its use, processing or onward disclosure of the Lead Data after Delivery, or any marketing or communication to an enquirer outside the lawful basis or permission in Schedule 2. In each case the indemnity applies only to the extent the loss is lawfully recoverable. Neither indemnity covers the indemnifier's own regulatory fine, and nothing relieves a party of its own primary liability to the Commissioner or to data subjects.</w:t>
      </w:r>
    </w:p>
    <w:p>
      <w:r>
        <w:rPr/>
        <w:t>12.2 Each indemnity works as follows. First, it is fault-based and is reduced to the extent the indemnified party caused the loss. Second, it is subject to the super-cap in clause 11.5. Third, the indemnified party must: (a) tell the indemnifier about the claim promptly; (b) not admit liability without the indemnifier's consent (which will not be unreasonably withheld); (c) let the indemnifier help defend the claim; and (d) take reasonable steps to limit the loss. As an exception, the indemnified party may keep control of any claim that affects its own regulatory or professional standing, but will not settle such a claim without the indemnifier's consent (which will not be unreasonably withheld). There are no uncapped indemnities.</w:t>
      </w:r>
    </w:p>
    <w:p>
      <w:pPr>
        <w:pStyle w:val="Heading2"/>
      </w:pPr>
      <w:r>
        <w:rPr/>
        <w:t>13. CONFIDENTIALITY</w:t>
      </w:r>
    </w:p>
    <w:p>
      <w:r>
        <w:rPr/>
        <w:t>13.1 Each party will keep the other's confidential information (including the terms of this Agreement, the Lead Data, and the parties' business, financial and technical information) confidential, use it only for this Agreement, and disclose it only to personnel and advisers who need it and are bound by equivalent obligations. This does not apply to information that is or becomes public (other than by breach), is lawfully obtained from a third party, is independently developed, or must be disclosed by law or a regulator. This clause does not limit the obligations in clause 8 and Schedule 2, and survives termination for 3 years (and indefinitely for Lead Data and trade secrets).</w:t>
      </w:r>
    </w:p>
    <w:p>
      <w:pPr>
        <w:pStyle w:val="Heading2"/>
      </w:pPr>
      <w:r>
        <w:rPr/>
        <w:t>14. INSURANCE</w:t>
      </w:r>
    </w:p>
    <w:p>
      <w:r>
        <w:rPr/>
        <w:t xml:space="preserve">14.1 During the Term the Supplier will maintain professional indemnity cover with a reputable insurer of not less than </w:t>
      </w:r>
      <w:r>
        <w:rPr>
          <w:b/>
        </w:rPr>
        <w:t>£100,000</w:t>
      </w:r>
      <w:r>
        <w:rPr/>
        <w:t xml:space="preserve"> and not less than the super-cap in clause 11.5 (cyber / data-breach cover recommended), and will provide evidence on reasonable request. The parties acknowledge that professional indemnity insurance may not respond to third-party data-breach claims or regulatory fines, and each party is responsible for its own insurance.</w:t>
      </w:r>
    </w:p>
    <w:p>
      <w:pPr>
        <w:pStyle w:val="Heading2"/>
      </w:pPr>
      <w:r>
        <w:rPr/>
        <w:t>15. TERMINATION</w:t>
      </w:r>
    </w:p>
    <w:p>
      <w:r>
        <w:rPr/>
        <w:t xml:space="preserve">15.1 Either party may terminate for convenience on not less than </w:t>
      </w:r>
      <w:r>
        <w:rPr>
          <w:b/>
        </w:rPr>
        <w:t>5 days'</w:t>
      </w:r>
      <w:r>
        <w:rPr/>
        <w:t xml:space="preserve"> written notice.</w:t>
      </w:r>
    </w:p>
    <w:p>
      <w:r>
        <w:rPr/>
        <w:t xml:space="preserve">15.2 The Supplier may suspend the Service and/or Exclusivity (clauses 4.3, 7.2) and may terminate immediately if the Client fails to pay any undisputed sum and that failure continues more than </w:t>
      </w:r>
      <w:r>
        <w:rPr>
          <w:b/>
        </w:rPr>
        <w:t>14 days</w:t>
      </w:r>
      <w:r>
        <w:rPr/>
        <w:t xml:space="preserve"> after written notice. This does not apply to a sum disputed in good faith under clause 7.3.</w:t>
      </w:r>
    </w:p>
    <w:p>
      <w:r>
        <w:rPr/>
        <w:t xml:space="preserve">15.3 Either party may terminate immediately if the other commits a material breach that is irremediable or not remedied within </w:t>
      </w:r>
      <w:r>
        <w:rPr>
          <w:b/>
        </w:rPr>
        <w:t>14 days</w:t>
      </w:r>
      <w:r>
        <w:rPr/>
        <w:t xml:space="preserve"> after written notice, or suffers an insolvency event (broadly, it is or is deemed unable to pay its debts, makes an arrangement with creditors, or has an administrator, receiver or winding-up step taken in respect of it, or any analogous event).</w:t>
      </w:r>
    </w:p>
    <w:p>
      <w:r>
        <w:rPr/>
        <w:t>15.4 Either party may terminate immediately if continued performance would breach the Data Protection Legislation, or if required by the Commissioner or a change in law, in each case after first discussing in good faith whether the issue can be remedied.</w:t>
      </w:r>
    </w:p>
    <w:p>
      <w:pPr>
        <w:pStyle w:val="Heading2"/>
      </w:pPr>
      <w:r>
        <w:rPr/>
        <w:t>16. CONSEQUENCES OF TERMINATION</w:t>
      </w:r>
    </w:p>
    <w:p>
      <w:r>
        <w:rPr/>
        <w:t>16.1 Termination does not affect rights or liabilities accrued up to termination, including the right to be paid for Qualifying Leads Delivered before termination, with interest and costs under clause 7.</w:t>
      </w:r>
    </w:p>
    <w:p>
      <w:r>
        <w:rPr/>
        <w:t>16.2 On termination: Exclusivity ends immediately; the Client will pay all outstanding invoices and the Supplier may issue a final invoice for Qualifying Leads Delivered but not yet invoiced; and each party will deal with the Lead Data under Schedule 2.</w:t>
      </w:r>
    </w:p>
    <w:p>
      <w:r>
        <w:rPr/>
        <w:t>16.3 Clauses that by their nature survive termination continue in force, including clauses 1, 5, 6, 7, 8, 9, 10, 11, 12, 13, 14, 16, 17, 19 and 20, and Schedule 2.</w:t>
      </w:r>
    </w:p>
    <w:p>
      <w:pPr>
        <w:pStyle w:val="Heading2"/>
      </w:pPr>
      <w:r>
        <w:rPr/>
        <w:t>17. COMPLIANCE, ANTI-BRIBERY AND FINANCIAL CRIME</w:t>
      </w:r>
    </w:p>
    <w:p>
      <w:r>
        <w:rPr/>
        <w:t>17.1 Each party will comply with all applicable laws in performing this Agreement, including the Bribery Act 2010 (and will maintain adequate procedures to prevent bribery), the Criminal Finances Act 2017 (preventing the facilitation of tax evasion), applicable anti-money-laundering and sanctions law, and the Data Protection Legislation. A breach of this clause is a material breach for the purposes of clause 15.3.</w:t>
      </w:r>
    </w:p>
    <w:p>
      <w:pPr>
        <w:pStyle w:val="Heading2"/>
      </w:pPr>
      <w:r>
        <w:rPr/>
        <w:t>18. FORCE MAJEURE</w:t>
      </w:r>
    </w:p>
    <w:p>
      <w:r>
        <w:rPr/>
        <w:t>18.1 Neither party is liable for any failure or delay (other than an obligation to pay money) caused by an event beyond its reasonable control, provided it notifies the other and uses reasonable endeavours to mitigate. If the event continues for more than 30 days, either party may terminate on written notice.</w:t>
      </w:r>
    </w:p>
    <w:p>
      <w:pPr>
        <w:pStyle w:val="Heading2"/>
      </w:pPr>
      <w:r>
        <w:rPr/>
        <w:t>19. GENERAL</w:t>
      </w:r>
    </w:p>
    <w:p>
      <w:r>
        <w:rPr/>
        <w:t xml:space="preserve">19.1 </w:t>
      </w:r>
      <w:r>
        <w:rPr>
          <w:b/>
        </w:rPr>
        <w:t>Assignment and subcontracting.</w:t>
      </w:r>
      <w:r>
        <w:rPr/>
        <w:t xml:space="preserve"> Neither party may assign, transfer or subcontract without the other's prior written consent, which will not be unreasonably withheld. Two exceptions apply to the Supplier. First, the Supplier may assign or transfer this Agreement to a successor of its business or the Site by giving written notice, as long as the assignee agrees to be bound by obligations equivalent to Schedule 2. Second, the Supplier may use subcontractors, but stays responsible for what they do.</w:t>
      </w:r>
    </w:p>
    <w:p>
      <w:r>
        <w:rPr/>
        <w:t xml:space="preserve">19.2 </w:t>
      </w:r>
      <w:r>
        <w:rPr>
          <w:b/>
        </w:rPr>
        <w:t>Entire agreement.</w:t>
      </w:r>
      <w:r>
        <w:rPr/>
        <w:t xml:space="preserve"> This Agreement (with its Schedules and Annexes) is the entire agreement between the parties about its subject matter and supersedes all prior arrangements. Neither party relies on any statement not set out in it, but nothing limits liability for fraud.</w:t>
      </w:r>
    </w:p>
    <w:p>
      <w:r>
        <w:rPr/>
        <w:t xml:space="preserve">19.3 </w:t>
      </w:r>
      <w:r>
        <w:rPr>
          <w:b/>
        </w:rPr>
        <w:t>Variation.</w:t>
      </w:r>
      <w:r>
        <w:rPr/>
        <w:t xml:space="preserve"> No variation is effective unless in writing and signed by both parties, except that the invoicing cycle and operational details in the Schedules may be updated by written agreement (including email) between the parties' nominated contacts.</w:t>
      </w:r>
    </w:p>
    <w:p>
      <w:r>
        <w:rPr/>
        <w:t xml:space="preserve">19.4 </w:t>
      </w:r>
      <w:r>
        <w:rPr>
          <w:b/>
        </w:rPr>
        <w:t>Waiver and severance.</w:t>
      </w:r>
      <w:r>
        <w:rPr/>
        <w:t xml:space="preserve"> A failure or delay in exercising a right is not a waiver of it. If any provision is or becomes invalid or unenforceable, it will be changed only as much as needed to make it valid. If it cannot be made valid, it is removed, and the rest of the Agreement still applies. Each limitation in clause 11 and each restriction in clause 9 stands on its own.</w:t>
      </w:r>
    </w:p>
    <w:p>
      <w:r>
        <w:rPr/>
        <w:t xml:space="preserve">19.5 </w:t>
      </w:r>
      <w:r>
        <w:rPr>
          <w:b/>
        </w:rPr>
        <w:t>No partnership.</w:t>
      </w:r>
      <w:r>
        <w:rPr/>
        <w:t xml:space="preserve"> Nothing in this Agreement creates a partnership, joint venture or agency, or authorises either party to bind the other.</w:t>
      </w:r>
    </w:p>
    <w:p>
      <w:r>
        <w:rPr/>
        <w:t xml:space="preserve">19.6 </w:t>
      </w:r>
      <w:r>
        <w:rPr>
          <w:b/>
        </w:rPr>
        <w:t>Third party rights.</w:t>
      </w:r>
      <w:r>
        <w:rPr/>
        <w:t xml:space="preserve"> A person who is not a party has no right under the Contracts (Rights of Third Parties) Act 1999 to enforce this Agreement, except that this does not affect any right of a data subject that exists apart from that Act.</w:t>
      </w:r>
    </w:p>
    <w:p>
      <w:r>
        <w:rPr/>
        <w:t xml:space="preserve">19.7 </w:t>
      </w:r>
      <w:r>
        <w:rPr>
          <w:b/>
        </w:rPr>
        <w:t>Notices.</w:t>
      </w:r>
      <w:r>
        <w:rPr/>
        <w:t xml:space="preserve"> Notices must be in writing and sent to the address or email in Schedule 1 (or as updated in writing). A notice by email is deemed received on transmission (or, if sent after 5pm on a Working Day or on a non-Working Day, at 9am on the next Working Day). This does not apply to the service of court proceedings.</w:t>
      </w:r>
    </w:p>
    <w:p>
      <w:r>
        <w:rPr/>
        <w:t xml:space="preserve">19.8 </w:t>
      </w:r>
      <w:r>
        <w:rPr>
          <w:b/>
        </w:rPr>
        <w:t>Counterparts.</w:t>
      </w:r>
      <w:r>
        <w:rPr/>
        <w:t xml:space="preserve"> This Agreement may be signed in counterparts, including by electronic signature, which together form one agreement.</w:t>
      </w:r>
    </w:p>
    <w:p>
      <w:pPr>
        <w:pStyle w:val="Heading2"/>
      </w:pPr>
      <w:r>
        <w:rPr/>
        <w:t>20. DISPUTES, GOVERNING LAW AND JURISDICTION</w:t>
      </w:r>
    </w:p>
    <w:p>
      <w:r>
        <w:rPr/>
        <w:t>20.1 The parties will try in good faith to resolve any dispute, their senior representatives meeting within 10 Working Days of a written notice of dispute; if it is not resolved within 20 Working Days of that notice, either party may commence court proceedings. This does not prevent either party from seeking urgent injunctive relief, or recovering an undisputed debt (including under clause 7), at any time.</w:t>
      </w:r>
    </w:p>
    <w:p>
      <w:r>
        <w:rPr/>
        <w:t>20.2 This Agreement and any dispute or claim arising out of it (including non-contractual disputes) are governed by the law of England and Wales, and the parties submit to the exclusive jurisdiction of its courts.</w:t>
      </w:r>
    </w:p>
    <w:p>
      <w:r>
        <w:rPr>
          <w:b/>
        </w:rPr>
        <w:t>SIGNED</w:t>
      </w:r>
      <w:r>
        <w:rPr/>
        <w:t xml:space="preserve"> for and on behalf of the parties: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Supplier: Ashfield Trading Limited</w:t>
            </w:r>
          </w:p>
        </w:tc>
        <w:tc>
          <w:tcPr>
            <w:tcW w:type="dxa" w:w="5256"/>
            <w:shd w:val="clear" w:color="auto" w:fill="1F3355"/>
          </w:tcPr>
          <w:p>
            <w:pPr>
              <w:spacing w:after="40" w:before="40"/>
            </w:pPr>
            <w:r>
              <w:rPr>
                <w:b/>
                <w:color w:val="FFFFFF"/>
              </w:rPr>
              <w:t>Client: DJH Business Advisers Limited</w:t>
            </w:r>
          </w:p>
        </w:tc>
      </w:tr>
      <w:tr>
        <w:tc>
          <w:tcPr>
            <w:tcW w:type="dxa" w:w="5256"/>
          </w:tcPr>
          <w:p>
            <w:pPr>
              <w:spacing w:after="40" w:before="40"/>
            </w:pPr>
            <w:r>
              <w:rPr/>
              <w:t>Signature: ............................................</w:t>
            </w:r>
          </w:p>
        </w:tc>
        <w:tc>
          <w:tcPr>
            <w:tcW w:type="dxa" w:w="5256"/>
          </w:tcPr>
          <w:p>
            <w:pPr>
              <w:spacing w:after="40" w:before="40"/>
            </w:pPr>
            <w:r>
              <w:rPr/>
              <w:t>Signature: ............................................</w:t>
            </w:r>
          </w:p>
        </w:tc>
      </w:tr>
      <w:tr>
        <w:tc>
          <w:tcPr>
            <w:tcW w:type="dxa" w:w="5256"/>
          </w:tcPr>
          <w:p>
            <w:pPr>
              <w:spacing w:after="40" w:before="40"/>
            </w:pPr>
            <w:r>
              <w:rPr/>
              <w:t xml:space="preserve">Name: </w:t>
            </w:r>
            <w:r>
              <w:rPr>
                <w:b/>
              </w:rPr>
              <w:t>Mohammed Junayd Moughal</w:t>
            </w:r>
          </w:p>
        </w:tc>
        <w:tc>
          <w:tcPr>
            <w:tcW w:type="dxa" w:w="5256"/>
          </w:tcPr>
          <w:p>
            <w:pPr>
              <w:spacing w:after="40" w:before="40"/>
            </w:pPr>
            <w:r>
              <w:rPr/>
              <w:t xml:space="preserve">Name: </w:t>
            </w:r>
            <w:r>
              <w:rPr>
                <w:b/>
              </w:rPr>
              <w:t>Michael Winniczuk</w:t>
            </w:r>
          </w:p>
        </w:tc>
      </w:tr>
      <w:tr>
        <w:tc>
          <w:tcPr>
            <w:tcW w:type="dxa" w:w="5256"/>
          </w:tcPr>
          <w:p>
            <w:pPr>
              <w:spacing w:after="40" w:before="40"/>
            </w:pPr>
            <w:r>
              <w:rPr/>
              <w:t xml:space="preserve">Title: </w:t>
            </w:r>
            <w:r>
              <w:rPr>
                <w:b/>
              </w:rPr>
              <w:t>Director</w:t>
            </w:r>
          </w:p>
        </w:tc>
        <w:tc>
          <w:tcPr>
            <w:tcW w:type="dxa" w:w="5256"/>
          </w:tcPr>
          <w:p>
            <w:pPr>
              <w:spacing w:after="40" w:before="40"/>
            </w:pPr>
            <w:r>
              <w:rPr/>
              <w:t xml:space="preserve">Title: </w:t>
            </w:r>
            <w:r>
              <w:rPr>
                <w:b/>
              </w:rPr>
              <w:t>Head of Growth</w:t>
            </w:r>
          </w:p>
        </w:tc>
      </w:tr>
      <w:tr>
        <w:tc>
          <w:tcPr>
            <w:tcW w:type="dxa" w:w="5256"/>
          </w:tcPr>
          <w:p>
            <w:pPr>
              <w:spacing w:after="40" w:before="40"/>
            </w:pPr>
            <w:r>
              <w:rPr/>
              <w:t>Date: 22 June 2026</w:t>
            </w:r>
          </w:p>
        </w:tc>
        <w:tc>
          <w:tcPr>
            <w:tcW w:type="dxa" w:w="5256"/>
          </w:tcPr>
          <w:p>
            <w:pPr>
              <w:spacing w:after="40" w:before="40"/>
            </w:pPr>
            <w:r>
              <w:rPr/>
              <w:t>Date: ............................................</w:t>
            </w:r>
          </w:p>
        </w:tc>
      </w:tr>
    </w:tbl>
    <w:p>
      <w:r>
        <w:br w:type="page"/>
      </w:r>
    </w:p>
    <w:p>
      <w:pPr>
        <w:pStyle w:val="Heading1"/>
        <w:pBdr>
          <w:bottom w:val="single" w:sz="6" w:space="6" w:color="8AA0C8"/>
        </w:pBdr>
      </w:pPr>
      <w:r>
        <w:rPr/>
        <w:t>SCHEDULE 1 - COMMERCIAL TERMS</w:t>
      </w:r>
    </w:p>
    <w:p>
      <w:r>
        <w:rPr>
          <w:b/>
        </w:rPr>
        <w:t>1. Site.</w:t>
      </w:r>
      <w:r>
        <w:rPr/>
        <w:t xml:space="preserve"> Property Tax Partners (propertytaxpartners.co.uk) and related digital properties operated by the Supplier under that brand.</w:t>
      </w:r>
    </w:p>
    <w:p>
      <w:r>
        <w:rPr>
          <w:b/>
        </w:rPr>
        <w:t>2. Commencement Date.</w:t>
      </w:r>
      <w:r>
        <w:rPr/>
        <w:t xml:space="preserve"> The date of this Agreement.</w:t>
      </w:r>
    </w:p>
    <w:p>
      <w:r>
        <w:rPr>
          <w:b/>
        </w:rPr>
        <w:t>3. Service.</w:t>
      </w:r>
      <w:r>
        <w:rPr/>
        <w:t xml:space="preserve"> Delivery of the exclusive Qualifying Lead flow generated by the Site to the Nominated Address (clauses 3 and 4).</w:t>
      </w:r>
    </w:p>
    <w:p>
      <w:r>
        <w:rPr>
          <w:b/>
        </w:rPr>
        <w:t>4. Nominated Address (for Leads).</w:t>
      </w:r>
      <w:r>
        <w:rPr/>
        <w:t xml:space="preserve"> Michael.Winniczuk@djh.co.uk</w:t>
      </w:r>
    </w:p>
    <w:p>
      <w:r>
        <w:rPr>
          <w:b/>
        </w:rPr>
        <w:t>5. Lead Fee.</w:t>
      </w:r>
      <w:r>
        <w:rPr/>
        <w:t xml:space="preserve"> £85 per Qualifying Lead Delivered (a genuine property-tax enquiry with the enquirer's name and a valid email and/or telephone number; a written message is not required, and no-message Leads are charged at £85, subject to clause 5.8). Billable on Delivery.</w:t>
      </w:r>
    </w:p>
    <w:p>
      <w:r>
        <w:rPr>
          <w:b/>
        </w:rPr>
        <w:t>6. Other Charges.</w:t>
      </w:r>
      <w:r>
        <w:rPr/>
        <w:t xml:space="preserve"> None.</w:t>
      </w:r>
    </w:p>
    <w:p>
      <w:r>
        <w:rPr>
          <w:b/>
        </w:rPr>
        <w:t>7. VAT.</w:t>
      </w:r>
      <w:r>
        <w:rPr/>
        <w:t xml:space="preserve"> Supplier not VAT registered (clause 6.2).</w:t>
      </w:r>
    </w:p>
    <w:p>
      <w:r>
        <w:rPr>
          <w:b/>
        </w:rPr>
        <w:t>8. Invoicing.</w:t>
      </w:r>
      <w:r>
        <w:rPr/>
        <w:t xml:space="preserve"> One invoice at or near the start of each calendar month for the Qualifying Leads Delivered in the preceding calendar month (each such month a </w:t>
      </w:r>
      <w:r>
        <w:rPr>
          <w:b/>
        </w:rPr>
        <w:t>"Billing Period"</w:t>
      </w:r>
      <w:r>
        <w:rPr/>
        <w:t>), with any credits and an itemised Lead Statement (clause 6.3); payable within 14 days. The parties may vary the cycle by written agreement.</w:t>
      </w:r>
    </w:p>
    <w:p>
      <w:r>
        <w:rPr>
          <w:b/>
        </w:rPr>
        <w:t>9. Payment.</w:t>
      </w:r>
      <w:r>
        <w:rPr/>
        <w:t xml:space="preserve"> By bank transfer, as set out on each invoice.</w:t>
      </w:r>
    </w:p>
    <w:p>
      <w:r>
        <w:rPr>
          <w:b/>
        </w:rPr>
        <w:t>10. Credit / rejection window.</w:t>
      </w:r>
      <w:r>
        <w:rPr/>
        <w:t xml:space="preserve"> 3 Working Days from Delivery. Rejection grounds and crediting: clause 5 (grounds in clause 5.4).</w:t>
      </w:r>
    </w:p>
    <w:p>
      <w:r>
        <w:rPr>
          <w:b/>
        </w:rPr>
        <w:t>11. Late payment.</w:t>
      </w:r>
      <w:r>
        <w:rPr/>
        <w:t xml:space="preserve"> 8% above the Bank of England base rate, plus statutory fixed-sum compensation and recovery costs (clause 7).</w:t>
      </w:r>
    </w:p>
    <w:p>
      <w:r>
        <w:rPr>
          <w:b/>
        </w:rPr>
        <w:t>12. Suspension.</w:t>
      </w:r>
      <w:r>
        <w:rPr/>
        <w:t xml:space="preserve"> The Supplier may suspend Delivery and/or Exclusivity if undisputed sums are unpaid more than 10 Working Days after written notice (clauses 4.3, 7.2).</w:t>
      </w:r>
    </w:p>
    <w:p>
      <w:r>
        <w:rPr>
          <w:b/>
        </w:rPr>
        <w:t>13. Termination for convenience.</w:t>
      </w:r>
      <w:r>
        <w:rPr/>
        <w:t xml:space="preserve"> 5 days' written notice by either party (clause 15.1).</w:t>
      </w:r>
    </w:p>
    <w:p>
      <w:r>
        <w:rPr>
          <w:b/>
        </w:rPr>
        <w:t>14. Insurance and caps.</w:t>
      </w:r>
      <w:r>
        <w:rPr/>
        <w:t xml:space="preserve"> Supplier professional indemnity at least £100,000 and not less than the super-cap, cyber / data-breach cover recommended (clause 14). Mutual aggregate liability cap: greater of £10,000 or 12 months' Charges (clause 11.4). Data-protection super-cap: greater of £100,000 or relevant insurance limit (clause 11.5).</w:t>
      </w:r>
    </w:p>
    <w:p>
      <w:r>
        <w:rPr>
          <w:b/>
        </w:rPr>
        <w:t>15. Contacts and notices.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3504"/>
        <w:gridCol w:w="3504"/>
        <w:gridCol w:w="3504"/>
      </w:tblGrid>
      <w:tr>
        <w:trPr>
          <w:tblHeader w:val="true"/>
        </w:trPr>
        <w:tc>
          <w:tcPr>
            <w:tcW w:type="dxa" w:w="3504"/>
            <w:shd w:val="clear" w:color="auto" w:fill="1F3355"/>
          </w:tcPr>
          <w:p>
            <w:pPr>
              <w:spacing w:after="40" w:before="40"/>
            </w:pPr>
          </w:p>
        </w:tc>
        <w:tc>
          <w:tcPr>
            <w:tcW w:type="dxa" w:w="3504"/>
            <w:shd w:val="clear" w:color="auto" w:fill="1F3355"/>
          </w:tcPr>
          <w:p>
            <w:pPr>
              <w:spacing w:after="40" w:before="40"/>
            </w:pPr>
            <w:r>
              <w:rPr>
                <w:b/>
                <w:color w:val="FFFFFF"/>
              </w:rPr>
              <w:t>Supplier</w:t>
            </w:r>
          </w:p>
        </w:tc>
        <w:tc>
          <w:tcPr>
            <w:tcW w:type="dxa" w:w="3504"/>
            <w:shd w:val="clear" w:color="auto" w:fill="1F3355"/>
          </w:tcPr>
          <w:p>
            <w:pPr>
              <w:spacing w:after="40" w:before="40"/>
            </w:pPr>
            <w:r>
              <w:rPr>
                <w:b/>
                <w:color w:val="FFFFFF"/>
              </w:rPr>
              <w:t>Client</w:t>
            </w:r>
          </w:p>
        </w:tc>
      </w:tr>
      <w:tr>
        <w:tc>
          <w:tcPr>
            <w:tcW w:type="dxa" w:w="3504"/>
          </w:tcPr>
          <w:p>
            <w:pPr>
              <w:spacing w:after="40" w:before="40"/>
            </w:pPr>
            <w:r>
              <w:rPr/>
              <w:t>Contact</w:t>
            </w:r>
          </w:p>
        </w:tc>
        <w:tc>
          <w:tcPr>
            <w:tcW w:type="dxa" w:w="3504"/>
          </w:tcPr>
          <w:p>
            <w:pPr>
              <w:spacing w:after="40" w:before="40"/>
            </w:pPr>
            <w:r>
              <w:rPr/>
              <w:t>Mohammed Junayd Moughal (Director)</w:t>
            </w:r>
          </w:p>
        </w:tc>
        <w:tc>
          <w:tcPr>
            <w:tcW w:type="dxa" w:w="3504"/>
          </w:tcPr>
          <w:p>
            <w:pPr>
              <w:spacing w:after="40" w:before="40"/>
            </w:pPr>
            <w:r>
              <w:rPr/>
              <w:t>Michael Winniczuk, Head of Growth</w:t>
            </w:r>
          </w:p>
        </w:tc>
      </w:tr>
      <w:tr>
        <w:tc>
          <w:tcPr>
            <w:tcW w:type="dxa" w:w="3504"/>
          </w:tcPr>
          <w:p>
            <w:pPr>
              <w:spacing w:after="40" w:before="40"/>
            </w:pPr>
            <w:r>
              <w:rPr/>
              <w:t>Notices email</w:t>
            </w:r>
          </w:p>
        </w:tc>
        <w:tc>
          <w:tcPr>
            <w:tcW w:type="dxa" w:w="3504"/>
          </w:tcPr>
          <w:p>
            <w:pPr>
              <w:spacing w:after="40" w:before="40"/>
            </w:pPr>
            <w:r>
              <w:rPr/>
              <w:t>junayd@ashfieldtrading.com</w:t>
            </w:r>
          </w:p>
        </w:tc>
        <w:tc>
          <w:tcPr>
            <w:tcW w:type="dxa" w:w="3504"/>
          </w:tcPr>
          <w:p>
            <w:pPr>
              <w:spacing w:after="40" w:before="40"/>
            </w:pPr>
            <w:r>
              <w:rPr/>
              <w:t>Michael.Winniczuk@djh.co.uk</w:t>
            </w:r>
          </w:p>
        </w:tc>
      </w:tr>
      <w:tr>
        <w:tc>
          <w:tcPr>
            <w:tcW w:type="dxa" w:w="3504"/>
          </w:tcPr>
          <w:p>
            <w:pPr>
              <w:spacing w:after="40" w:before="40"/>
            </w:pPr>
            <w:r>
              <w:rPr/>
              <w:t>Postal address</w:t>
            </w:r>
          </w:p>
        </w:tc>
        <w:tc>
          <w:tcPr>
            <w:tcW w:type="dxa" w:w="3504"/>
          </w:tcPr>
          <w:p>
            <w:pPr>
              <w:spacing w:after="40" w:before="40"/>
            </w:pPr>
            <w:r>
              <w:rPr/>
              <w:t>20 Ashfield Avenue, Shipley, BD18 3AL</w:t>
            </w:r>
          </w:p>
        </w:tc>
        <w:tc>
          <w:tcPr>
            <w:tcW w:type="dxa" w:w="3504"/>
          </w:tcPr>
          <w:p>
            <w:pPr>
              <w:spacing w:after="40" w:before="40"/>
            </w:pPr>
            <w:r>
              <w:rPr/>
              <w:t>The Glades, Festival Way, Festival Park, Stoke-on-Trent, ST1 5SQ</w:t>
            </w:r>
          </w:p>
        </w:tc>
      </w:tr>
      <w:tr>
        <w:tc>
          <w:tcPr>
            <w:tcW w:type="dxa" w:w="3504"/>
          </w:tcPr>
          <w:p>
            <w:pPr>
              <w:spacing w:after="40" w:before="40"/>
            </w:pPr>
            <w:r>
              <w:rPr/>
              <w:t>Data protection contact</w:t>
            </w:r>
          </w:p>
        </w:tc>
        <w:tc>
          <w:tcPr>
            <w:tcW w:type="dxa" w:w="3504"/>
          </w:tcPr>
          <w:p>
            <w:pPr>
              <w:spacing w:after="40" w:before="40"/>
            </w:pPr>
            <w:r>
              <w:rPr/>
              <w:t>Mohammed Junayd Moughal, junayd@ashfieldtrading.com</w:t>
            </w:r>
          </w:p>
        </w:tc>
        <w:tc>
          <w:tcPr>
            <w:tcW w:type="dxa" w:w="3504"/>
          </w:tcPr>
          <w:p>
            <w:pPr>
              <w:spacing w:after="40" w:before="40"/>
            </w:pPr>
            <w:r>
              <w:rPr/>
              <w:t>Suzy Dawson-Newbury, GRC@djh.co.uk, 01782 279615</w:t>
            </w:r>
          </w:p>
        </w:tc>
      </w:tr>
      <w:tr>
        <w:tc>
          <w:tcPr>
            <w:tcW w:type="dxa" w:w="3504"/>
          </w:tcPr>
          <w:p>
            <w:pPr>
              <w:spacing w:after="40" w:before="40"/>
            </w:pPr>
            <w:r>
              <w:rPr/>
              <w:t>Privacy policy</w:t>
            </w:r>
          </w:p>
        </w:tc>
        <w:tc>
          <w:tcPr>
            <w:tcW w:type="dxa" w:w="3504"/>
          </w:tcPr>
          <w:p>
            <w:pPr>
              <w:spacing w:after="40" w:before="40"/>
            </w:pPr>
            <w:r>
              <w:rPr/>
              <w:t>https://www.propertytaxpartners.co.uk/privacy-policy</w:t>
            </w:r>
          </w:p>
        </w:tc>
        <w:tc>
          <w:tcPr>
            <w:tcW w:type="dxa" w:w="3504"/>
          </w:tcPr>
          <w:p>
            <w:pPr>
              <w:spacing w:after="40" w:before="40"/>
            </w:pPr>
            <w:r>
              <w:rPr/>
              <w:t>https://www.djh.co.uk/privacy-policy/</w:t>
            </w:r>
          </w:p>
        </w:tc>
      </w:tr>
      <w:tr>
        <w:tc>
          <w:tcPr>
            <w:tcW w:type="dxa" w:w="3504"/>
          </w:tcPr>
          <w:p>
            <w:pPr>
              <w:spacing w:after="40" w:before="40"/>
            </w:pPr>
            <w:r>
              <w:rPr/>
              <w:t>ICO registration</w:t>
            </w:r>
          </w:p>
        </w:tc>
        <w:tc>
          <w:tcPr>
            <w:tcW w:type="dxa" w:w="3504"/>
          </w:tcPr>
          <w:p>
            <w:pPr>
              <w:spacing w:after="40" w:before="40"/>
            </w:pPr>
            <w:r>
              <w:rPr/>
              <w:t>Registered, with the reference available on request (clause 10.2)</w:t>
            </w:r>
          </w:p>
        </w:tc>
        <w:tc>
          <w:tcPr>
            <w:tcW w:type="dxa" w:w="3504"/>
          </w:tcPr>
          <w:p>
            <w:pPr>
              <w:spacing w:after="40" w:before="40"/>
            </w:pPr>
            <w:r>
              <w:rPr/>
              <w:t>Z8075605 (DJH Business Advisers Limited, Tier 2)</w:t>
            </w:r>
          </w:p>
        </w:tc>
      </w:tr>
    </w:tbl>
    <w:p>
      <w:r>
        <w:br w:type="page"/>
      </w:r>
    </w:p>
    <w:p>
      <w:pPr>
        <w:pStyle w:val="Heading1"/>
        <w:pBdr>
          <w:bottom w:val="single" w:sz="6" w:space="6" w:color="8AA0C8"/>
        </w:pBdr>
      </w:pPr>
      <w:r>
        <w:rPr/>
        <w:t>SCHEDULE 2 - DATA SHARING AND DATA PROTECTION</w:t>
      </w:r>
    </w:p>
    <w:p>
      <w:r>
        <w:rPr/>
        <w:t>This Schedule is an independent controller-to-controller data sharing arrangement, aligned with the UK GDPR and the Data Protection Act 2018 (as amended by the Data (Use and Access) Act 2025) and the Commissioner's data sharing guidance.</w:t>
      </w:r>
    </w:p>
    <w:p>
      <w:r>
        <w:rPr>
          <w:b/>
        </w:rPr>
        <w:t>1. Status and purpose.</w:t>
      </w:r>
      <w:r>
        <w:rPr/>
        <w:t xml:space="preserve"> The parties share the Lead Data as independent Controllers, each responsible for its own compliance; the Client decides independently whether and how to respond to and advise each enquirer; neither is the other's Processor and this is not an Article 28 contract. The </w:t>
      </w:r>
      <w:r>
        <w:rPr>
          <w:b/>
        </w:rPr>
        <w:t>"Permitted Purpose"</w:t>
      </w:r>
      <w:r>
        <w:rPr/>
        <w:t xml:space="preserve"> is enabling the Client, as a specialist firm, to receive and respond to the enquirer's property-tax enquiry and provide the requested information or advice. Each party processes the Lead Data only for the Permitted Purpose or a compatible purpose. All processing takes place in the United Kingdom; neither party will make a restricted transfer outside the UK without a valid mechanism under Articles 44 to 49. Neither party will take a decision based solely on automated processing that has legal or similarly significant effects on an enquirer, except in compliance with the UK GDPR. The Client is part of the DJH Group and may, as receiving Controller, share the Lead Data within the DJH Group for the Permitted Purpose; any such onward sharing is the Client's own responsibility under paragraph 11 and clauses 8.5 and 8.6, and does not make the Supplier responsible for it.</w:t>
      </w:r>
    </w:p>
    <w:p>
      <w:r>
        <w:rPr>
          <w:b/>
        </w:rPr>
        <w:t>2. Roles and registration.</w:t>
      </w:r>
      <w:r>
        <w:rPr/>
        <w:t xml:space="preserve"> The Supplier is the disclosing Controller; the Client is the receiving Controller (from Delivery). Each is, or will be before the first Delivery, registered with the Commissioner and has paid or will pay the data protection fee (to the extent required), and will maintain that registration for the Term. Contacts are in Schedule 1, paragraph 15; each party's data protection contact there is its single point of contact for matters under this Schedule (including breach notification under paragraph 9, data subject rights under paragraph 10 and cooperation on complaints), and each party will keep that contact current and notify the other in writing of any change.</w:t>
      </w:r>
    </w:p>
    <w:p>
      <w:r>
        <w:rPr>
          <w:b/>
        </w:rPr>
        <w:t>3. Lawful basis.</w:t>
      </w:r>
      <w:r>
        <w:rPr/>
        <w:t xml:space="preserve"> The Supplier shares the Lead Data on the basis of the </w:t>
      </w:r>
      <w:r>
        <w:rPr>
          <w:b/>
        </w:rPr>
        <w:t>legitimate interests</w:t>
      </w:r>
      <w:r>
        <w:rPr/>
        <w:t xml:space="preserve"> of the parties under Article 6(1)(f) of the UK GDPR (connecting an enquirer who has asked for specialist property-tax help with the Client), together with Article 6(1)(b) where the sharing is necessary to take steps at the enquirer's request. The Supplier holds a documented Legitimate Interests Assessment and, at the point of collection, tells the enquirer that their details will be shared with the Client (named as DJH Business Advisers Limited) and that the Client will contact them. Where the Supplier relies on consent instead (or for any PECR electronic marketing), it will obtain specific, informed, freely given, unbundled consent, by clear affirmative action, naming the Client. For each Lead, the Supplier will: (a) keep evidence of the lawful basis (and, where consent is relied on, keep the consent version, the exact wording shown, the date and time, and any IP address); (b) tell enquirers they can withdraw, and give them a way to withdraw that is as easy as the original opt-in; (c) send the relevant lawful-basis information with each Delivery; and (d) not Deliver a Lead if the required basis or consent is missing or has been withdrawn.</w:t>
      </w:r>
    </w:p>
    <w:p>
      <w:r>
        <w:rPr>
          <w:b/>
        </w:rPr>
        <w:t>4. Special category data.</w:t>
      </w:r>
      <w:r>
        <w:rPr/>
        <w:t xml:space="preserve"> The parties will design the enquiry form to avoid collecting special category data (Article 9) and will minimise special-category or unnecessary sensitive detail in free-text fields. Any special category data collected will be handled under an appropriate Article 9 condition (such as explicit consent) and minimised or redacted where possible before sharing.</w:t>
      </w:r>
    </w:p>
    <w:p>
      <w:r>
        <w:rPr>
          <w:b/>
        </w:rPr>
        <w:t>5. Transparency.</w:t>
      </w:r>
      <w:r>
        <w:rPr/>
        <w:t xml:space="preserve"> At the point of collection, the Supplier will give the enquirer an Article 13 privacy notice. It will cover: the Supplier's identity; that the Client (DJH Business Advisers Limited) is a recipient; the Permitted Purpose; the lawful basis; the retention period; the enquirer's rights; and how to complain to the Commissioner. Those rights include the right to object under Article 21 where the basis is legitimate interests, and the right to withdraw consent where consent is relied on. The approved wording is in Annex B. The Client will: (a) give the enquirer Article 14 information, normally at first contact and within one month of receipt; (b) only rely on the Article 14(5)(a) exemption if the Supplier's records show the enquirer already has that information; and (c) make sure its privacy notice names DJH Business Advisers Limited as the receiving Controller, discloses that DJH Business Advisers Limited may share the data within the DJH Group, and explains that it receives enquiries from the Supplier's partner lead-generation website. Each party keeps its published privacy policy consistent with this Schedule.</w:t>
      </w:r>
    </w:p>
    <w:p>
      <w:r>
        <w:rPr>
          <w:b/>
        </w:rPr>
        <w:t>6. Response versus marketing (PECR).</w:t>
      </w:r>
      <w:r>
        <w:rPr/>
        <w:t xml:space="preserve"> The Client may contact the enquirer to provide the property-tax information or advice requested; this is a response to the request, not direct marketing. Neither party will send other-service electronic marketing without a lawful PECR basis, and the Client will not rely on the regulation 22(3) soft opt-in for these Leads (it has no prior customer relationship with the enquirer). Each party will honour opt-outs and objections, keep its own suppression list, and tell the other within 2 Working Days of any withdrawal, opt-out or objection, so that both can apply it. For any Lead with no enquiry message, the Client will treat first contact as possible direct marketing and will only make contact on a lawful PECR basis. This does not apply where the record shows the enquirer asked to be contacted.</w:t>
      </w:r>
    </w:p>
    <w:p>
      <w:r>
        <w:rPr>
          <w:b/>
        </w:rPr>
        <w:t>7. Data specification and quality.</w:t>
      </w:r>
      <w:r>
        <w:rPr/>
        <w:t xml:space="preserve"> The Lead Data is limited to the fields in </w:t>
      </w:r>
      <w:r>
        <w:rPr>
          <w:b/>
        </w:rPr>
        <w:t>Annex A</w:t>
      </w:r>
      <w:r>
        <w:rPr/>
        <w:t>; neither party will share or require more than necessary for the Permitted Purpose. The Supplier shares the data as submitted and does not warrant its accuracy; each party takes reasonable steps to keep the data it holds accurate and tells the other of any inaccuracy without undue delay.</w:t>
      </w:r>
    </w:p>
    <w:p>
      <w:r>
        <w:rPr>
          <w:b/>
        </w:rPr>
        <w:t>8. Security.</w:t>
      </w:r>
      <w:r>
        <w:rPr/>
        <w:t xml:space="preserve"> Each party implements appropriate technical and organisational measures (Article 32). Leads are transmitted by a secure method (encryption in transit, for example a TLS-secured connection or secure portal / API), not by unencrypted means, with access controls and personnel bound by confidentiality.</w:t>
      </w:r>
    </w:p>
    <w:p>
      <w:r>
        <w:rPr>
          <w:b/>
        </w:rPr>
        <w:t>9. Personal data breach.</w:t>
      </w:r>
      <w:r>
        <w:rPr/>
        <w:t xml:space="preserve"> On becoming aware of a Personal Data Breach affecting the Lead Data, a party will notify the other without undue delay and within 24 hours, with the information in Article 33(3) (the nature of the breach, the categories and approximate numbers affected, the likely consequences and the measures taken), so the other can meet its 72-hour notification to the Commissioner and any notification to data subjects. The parties will cooperate to investigate, contain and remediate, and each keeps a record of breaches affecting the Lead Data.</w:t>
      </w:r>
    </w:p>
    <w:p>
      <w:r>
        <w:rPr>
          <w:b/>
        </w:rPr>
        <w:t>10. Data subject rights and complaints.</w:t>
      </w:r>
      <w:r>
        <w:rPr/>
        <w:t xml:space="preserve"> Each party handles requests about the Personal Data it holds (access, rectification, erasure, restriction, portability and objection), gives the other reasonable assistance, acknowledges a forwarded request within 5 Working Days, promptly forwards a misdirected request, and may make reasonable and proportionate searches and pause for clarification or identity verification. Each operates an accessible complaints procedure, acknowledges a complaint within 30 days, investigates proportionately and informs the complainant of the outcome; where a complaint concerns the shared data, the parties cooperate.</w:t>
      </w:r>
    </w:p>
    <w:p>
      <w:r>
        <w:rPr>
          <w:b/>
        </w:rPr>
        <w:t>11. Retention, records, review and liability.</w:t>
      </w:r>
      <w:r>
        <w:rPr/>
        <w:t xml:space="preserve"> The Supplier will delete or anonymise the Lead Data (the enquirer's contact details and any message) within </w:t>
      </w:r>
      <w:r>
        <w:rPr>
          <w:b/>
        </w:rPr>
        <w:t>3 months</w:t>
      </w:r>
      <w:r>
        <w:rPr/>
        <w:t xml:space="preserve"> of Delivery. It may keep only the minimum needed to: evidence the lawful basis and consent; support billing, reconciliation and the audit right in clause 6.6; and meet legal duties. This includes the Delivery Log, which the Supplier keeps for at least 24 months. The Client retains the Lead Data only as long as necessary for the Permitted Purpose or its engagement, then deletes or anonymises it. On termination, each party deletes or returns Lead Data no longer needed for a lawful purpose and certifies deletion on request, subject to any legal retention. Each party will keep its own Article 30 records of the sharing. Before go-live, the Supplier will carry out and document a DPIA or screening assessment and share the outcome. The parties will review this Schedule at least once a year, and whenever there is a material change in the sharing, the lawful basis or the law. The Client will not further disclose the Lead Data except for the Permitted Purpose with a lawful basis, or as required by law. As between the parties, liability for data protection breaches is allocated by clause 12 and is subject to the super-cap in clause 11.5; nothing in this Schedule limits a data subject's rights or a Controller's liability to the Commissioner.</w:t>
      </w:r>
    </w:p>
    <w:p>
      <w:pPr>
        <w:pStyle w:val="Heading2"/>
      </w:pPr>
      <w:r>
        <w:rPr/>
        <w:t>ANNEX A - DATA SPECIFICATION</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Item</w:t>
            </w:r>
          </w:p>
        </w:tc>
        <w:tc>
          <w:tcPr>
            <w:tcW w:type="dxa" w:w="5256"/>
            <w:shd w:val="clear" w:color="auto" w:fill="1F3355"/>
          </w:tcPr>
          <w:p>
            <w:pPr>
              <w:spacing w:after="40" w:before="40"/>
            </w:pPr>
            <w:r>
              <w:rPr>
                <w:b/>
                <w:color w:val="FFFFFF"/>
              </w:rPr>
              <w:t>Detail</w:t>
            </w:r>
          </w:p>
        </w:tc>
      </w:tr>
      <w:tr>
        <w:tc>
          <w:tcPr>
            <w:tcW w:type="dxa" w:w="5256"/>
          </w:tcPr>
          <w:p>
            <w:pPr>
              <w:spacing w:after="40" w:before="40"/>
            </w:pPr>
            <w:r>
              <w:rPr>
                <w:b/>
              </w:rPr>
              <w:t>Data subjects</w:t>
            </w:r>
          </w:p>
        </w:tc>
        <w:tc>
          <w:tcPr>
            <w:tcW w:type="dxa" w:w="5256"/>
          </w:tcPr>
          <w:p>
            <w:pPr>
              <w:spacing w:after="40" w:before="40"/>
            </w:pPr>
            <w:r>
              <w:rPr/>
              <w:t>Persons enquiring through the Site (landlords, property investors and others seeking property-tax advice).</w:t>
            </w:r>
          </w:p>
        </w:tc>
      </w:tr>
      <w:tr>
        <w:tc>
          <w:tcPr>
            <w:tcW w:type="dxa" w:w="5256"/>
          </w:tcPr>
          <w:p>
            <w:pPr>
              <w:spacing w:after="40" w:before="40"/>
            </w:pPr>
            <w:r>
              <w:rPr>
                <w:b/>
              </w:rPr>
              <w:t>Personal data shared</w:t>
            </w:r>
          </w:p>
        </w:tc>
        <w:tc>
          <w:tcPr>
            <w:tcW w:type="dxa" w:w="5256"/>
          </w:tcPr>
          <w:p>
            <w:pPr>
              <w:spacing w:after="40" w:before="40"/>
            </w:pPr>
            <w:r>
              <w:rPr/>
              <w:t>Name; email address and/or telephone number; and (where the enquirer gives one) the enquiry message, which may include the enquirer's property and tax circumstances.</w:t>
            </w:r>
          </w:p>
        </w:tc>
      </w:tr>
      <w:tr>
        <w:tc>
          <w:tcPr>
            <w:tcW w:type="dxa" w:w="5256"/>
          </w:tcPr>
          <w:p>
            <w:pPr>
              <w:spacing w:after="40" w:before="40"/>
            </w:pPr>
            <w:r>
              <w:rPr>
                <w:b/>
              </w:rPr>
              <w:t>Special category data</w:t>
            </w:r>
          </w:p>
        </w:tc>
        <w:tc>
          <w:tcPr>
            <w:tcW w:type="dxa" w:w="5256"/>
          </w:tcPr>
          <w:p>
            <w:pPr>
              <w:spacing w:after="40" w:before="40"/>
            </w:pPr>
            <w:r>
              <w:rPr/>
              <w:t>None intended to be collected or shared (paragraph 4).</w:t>
            </w:r>
          </w:p>
        </w:tc>
      </w:tr>
      <w:tr>
        <w:tc>
          <w:tcPr>
            <w:tcW w:type="dxa" w:w="5256"/>
          </w:tcPr>
          <w:p>
            <w:pPr>
              <w:spacing w:after="40" w:before="40"/>
            </w:pPr>
            <w:r>
              <w:rPr>
                <w:b/>
              </w:rPr>
              <w:t>Direction</w:t>
            </w:r>
          </w:p>
        </w:tc>
        <w:tc>
          <w:tcPr>
            <w:tcW w:type="dxa" w:w="5256"/>
          </w:tcPr>
          <w:p>
            <w:pPr>
              <w:spacing w:after="40" w:before="40"/>
            </w:pPr>
            <w:r>
              <w:rPr/>
              <w:t>Supplier to Client (one way). The Client may share within the DJH Group as receiving Controller (clause 8.6).</w:t>
            </w:r>
          </w:p>
        </w:tc>
      </w:tr>
      <w:tr>
        <w:tc>
          <w:tcPr>
            <w:tcW w:type="dxa" w:w="5256"/>
          </w:tcPr>
          <w:p>
            <w:pPr>
              <w:spacing w:after="40" w:before="40"/>
            </w:pPr>
            <w:r>
              <w:rPr>
                <w:b/>
              </w:rPr>
              <w:t>Lawful basis (Supplier share)</w:t>
            </w:r>
          </w:p>
        </w:tc>
        <w:tc>
          <w:tcPr>
            <w:tcW w:type="dxa" w:w="5256"/>
          </w:tcPr>
          <w:p>
            <w:pPr>
              <w:spacing w:after="40" w:before="40"/>
            </w:pPr>
            <w:r>
              <w:rPr/>
              <w:t>Legitimate interests, Article 6(1)(f) (and 6(1)(b) where applicable), with a documented LIA (paragraph 3).</w:t>
            </w:r>
          </w:p>
        </w:tc>
      </w:tr>
      <w:tr>
        <w:tc>
          <w:tcPr>
            <w:tcW w:type="dxa" w:w="5256"/>
          </w:tcPr>
          <w:p>
            <w:pPr>
              <w:spacing w:after="40" w:before="40"/>
            </w:pPr>
            <w:r>
              <w:rPr>
                <w:b/>
              </w:rPr>
              <w:t>Lawful basis (Client receipt)</w:t>
            </w:r>
          </w:p>
        </w:tc>
        <w:tc>
          <w:tcPr>
            <w:tcW w:type="dxa" w:w="5256"/>
          </w:tcPr>
          <w:p>
            <w:pPr>
              <w:spacing w:after="40" w:before="40"/>
            </w:pPr>
            <w:r>
              <w:rPr/>
              <w:t>Legitimate interests, Article 6(1)(f), with a documented LIA.</w:t>
            </w:r>
          </w:p>
        </w:tc>
      </w:tr>
      <w:tr>
        <w:tc>
          <w:tcPr>
            <w:tcW w:type="dxa" w:w="5256"/>
          </w:tcPr>
          <w:p>
            <w:pPr>
              <w:spacing w:after="40" w:before="40"/>
            </w:pPr>
            <w:r>
              <w:rPr>
                <w:b/>
              </w:rPr>
              <w:t>Method of transfer</w:t>
            </w:r>
          </w:p>
        </w:tc>
        <w:tc>
          <w:tcPr>
            <w:tcW w:type="dxa" w:w="5256"/>
          </w:tcPr>
          <w:p>
            <w:pPr>
              <w:spacing w:after="40" w:before="40"/>
            </w:pPr>
            <w:r>
              <w:rPr/>
              <w:t>Secure forwarding to the Nominated Address (automated, or by the Supplier forwarding it on), encrypted in transit, with the relevant lawful-basis metadata.</w:t>
            </w:r>
          </w:p>
        </w:tc>
      </w:tr>
      <w:tr>
        <w:tc>
          <w:tcPr>
            <w:tcW w:type="dxa" w:w="5256"/>
          </w:tcPr>
          <w:p>
            <w:pPr>
              <w:spacing w:after="40" w:before="40"/>
            </w:pPr>
            <w:r>
              <w:rPr>
                <w:b/>
              </w:rPr>
              <w:t>Retention (Supplier)</w:t>
            </w:r>
          </w:p>
        </w:tc>
        <w:tc>
          <w:tcPr>
            <w:tcW w:type="dxa" w:w="5256"/>
          </w:tcPr>
          <w:p>
            <w:pPr>
              <w:spacing w:after="40" w:before="40"/>
            </w:pPr>
            <w:r>
              <w:rPr/>
              <w:t>Delete / anonymise the Lead Data within 3 months of Delivery (evidence and the 24-month Delivery Log carved out, paragraph 11).</w:t>
            </w:r>
          </w:p>
        </w:tc>
      </w:tr>
      <w:tr>
        <w:tc>
          <w:tcPr>
            <w:tcW w:type="dxa" w:w="5256"/>
          </w:tcPr>
          <w:p>
            <w:pPr>
              <w:spacing w:after="40" w:before="40"/>
            </w:pPr>
            <w:r>
              <w:rPr>
                <w:b/>
              </w:rPr>
              <w:t>Retention (Client)</w:t>
            </w:r>
          </w:p>
        </w:tc>
        <w:tc>
          <w:tcPr>
            <w:tcW w:type="dxa" w:w="5256"/>
          </w:tcPr>
          <w:p>
            <w:pPr>
              <w:spacing w:after="40" w:before="40"/>
            </w:pPr>
            <w:r>
              <w:rPr/>
              <w:t>As long as necessary for the Permitted Purpose / engagement, then delete or anonymise.</w:t>
            </w:r>
          </w:p>
        </w:tc>
      </w:tr>
      <w:tr>
        <w:tc>
          <w:tcPr>
            <w:tcW w:type="dxa" w:w="5256"/>
          </w:tcPr>
          <w:p>
            <w:pPr>
              <w:spacing w:after="40" w:before="40"/>
            </w:pPr>
            <w:r>
              <w:rPr>
                <w:b/>
              </w:rPr>
              <w:t>Breach contacts</w:t>
            </w:r>
          </w:p>
        </w:tc>
        <w:tc>
          <w:tcPr>
            <w:tcW w:type="dxa" w:w="5256"/>
          </w:tcPr>
          <w:p>
            <w:pPr>
              <w:spacing w:after="40" w:before="40"/>
            </w:pPr>
            <w:r>
              <w:rPr/>
              <w:t>Supplier: Mohammed Junayd Moughal, junayd@ashfieldtrading.com. Client: GRC@djh.co.uk (Suzy Dawson-Newbury), 01782 279615.</w:t>
            </w:r>
          </w:p>
        </w:tc>
      </w:tr>
    </w:tbl>
    <w:p>
      <w:pPr>
        <w:pStyle w:val="Heading2"/>
      </w:pPr>
      <w:r>
        <w:rPr/>
        <w:t>ANNEX B - CONSENT AND PRIVACY-NOTICE WORDING</w:t>
      </w:r>
    </w:p>
    <w:p>
      <w:r>
        <w:rPr>
          <w:b/>
        </w:rPr>
        <w:t>B.1 Lead-form acknowledgement.</w:t>
      </w:r>
      <w:r>
        <w:rPr/>
        <w:t xml:space="preserve"> Because the lawful basis for the share is the legitimate interests of the parties (paragraph 3), and not consent, the line is presented as an acknowledgement (submitting the enquiry is the affirmative act) rather than a tick-to-consent box. On each lead-capture form the Supplier will display:</w:t>
      </w:r>
    </w:p>
    <w:p>
      <w:pPr>
        <w:spacing w:before="80" w:after="80"/>
        <w:ind w:left="432"/>
        <w:pBdr>
          <w:left w:val="single" w:sz="18" w:space="10" w:color="8AA0C8"/>
        </w:pBdr>
      </w:pPr>
      <w:r>
        <w:rPr>
          <w:i/>
        </w:rPr>
        <w:t>"To answer your enquiry, your details will be shared with our specialist partner firm DJH Business Advisers Limited (part of the DJH group of companies), an independent data controller that will contact you and use your details under its own privacy policy. By submitting this enquiry you confirm you understand this. See our Privacy Policy."</w:t>
      </w:r>
    </w:p>
    <w:p>
      <w:r>
        <w:rPr/>
        <w:t>The Supplier will present this wording, with a link to the Client's privacy policy at https://www.djh.co.uk/privacy-policy/, on or before the first Delivery of a Lead.</w:t>
      </w:r>
    </w:p>
    <w:p>
      <w:r>
        <w:rPr>
          <w:b/>
        </w:rPr>
        <w:t>B.2 Email-only sign-up (newsletter) - NOT a Lead.</w:t>
      </w:r>
      <w:r>
        <w:rPr/>
        <w:t xml:space="preserve"> The Supplier's email-only newsletter sign-up uses separate marketing-opt-in wording that does not permit sharing with, or contact by, the Client; newsletter subscribers will not be Delivered as Leads.</w:t>
      </w:r>
    </w:p>
    <w:p>
      <w:r>
        <w:rPr>
          <w:b/>
        </w:rPr>
        <w:t>B.3 Privacy notice.</w:t>
      </w:r>
      <w:r>
        <w:rPr/>
        <w:t xml:space="preserve"> The Supplier's privacy policy will identify the Supplier; name DJH Business Advisers Limited as a recipient, noting it may share the data within the DJH group, with a link to its privacy policy at https://www.djh.co.uk/privacy-policy/; and give the Permitted Purpose, the lawful basis, the retention period, the enquirer's rights (including the right to object) and the right to complain to the Commissioner.</w:t>
      </w:r>
    </w:p>
    <w:p>
      <w:r>
        <w:rPr>
          <w:b/>
        </w:rPr>
        <w:t>B.4</w:t>
      </w:r>
      <w:r>
        <w:rPr/>
        <w:t xml:space="preserve"> The Supplier will not materially weaken the wording in this Annex without the Client's prior written agreement (not to be unreasonably withheld).</w:t>
      </w:r>
    </w:p>
    <w:p>
      <w:r>
        <w:rPr>
          <w:i/>
        </w:rPr>
        <w:t>End of Agreement and Schedules.</w:t>
      </w:r>
    </w:p>
    <w:sectPr w:rsidR="00FC693F" w:rsidRPr="0006063C" w:rsidSect="00034616">
      <w:footerReference w:type="default" r:id="rId9"/>
      <w:pgSz w:w="12240" w:h="15840"/>
      <w:pgMar w:top="864" w:right="864" w:bottom="864" w:left="86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Lead Generation and Data Sharing Agreement    |    Page </w:t>
    </w:r>
    <w:r>
      <w:rPr>
        <w:rFonts w:ascii="Calibri" w:hAnsi="Calibri"/>
        <w:color w:val="6B7280"/>
        <w:sz w:val="17"/>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5"/>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F33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