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Bdr>
          <w:bottom w:val="single" w:sz="8" w:space="8" w:color="8AA0C8"/>
        </w:pBdr>
      </w:pPr>
      <w:r>
        <w:rPr>
          <w:sz w:val="40"/>
        </w:rPr>
        <w:t>REFERRAL AGREEMENT</w:t>
      </w:r>
    </w:p>
    <w:p>
      <w:r>
        <w:rPr/>
        <w:t>Dated: the date of the last signature below.</w:t>
      </w:r>
    </w:p>
    <w:p>
      <w:pPr>
        <w:pStyle w:val="Heading2"/>
      </w:pPr>
      <w:r>
        <w:rPr/>
        <w:t>PARTIES</w:t>
      </w:r>
    </w:p>
    <w:p>
      <w:r>
        <w:rPr/>
        <w:t>(1) ASHFIELD TRADING LIMITED (company number 16358723), whose registered office is at 20 Ashfield Avenue, Shipley, BD18 3AL (the "Introducer"); and</w:t>
      </w:r>
    </w:p>
    <w:p>
      <w:r>
        <w:rPr/>
        <w:t>(2) ASWATAX LTD (company number 12923632), whose registered office is at 124 City Road, London, EC1V 2NX (the "Adviser"),</w:t>
      </w:r>
    </w:p>
    <w:p>
      <w:r>
        <w:rPr/>
        <w:t>each a "party" and together the "parties".</w:t>
      </w:r>
    </w:p>
    <w:p>
      <w:pPr>
        <w:pStyle w:val="Heading2"/>
      </w:pPr>
      <w:r>
        <w:rPr/>
        <w:t>BACKGROUND</w:t>
      </w:r>
    </w:p>
    <w:p>
      <w:r>
        <w:rPr/>
        <w:t>(A) The Introducer operates a portfolio of specialist enquiry websites through which people seeking professional accounting and tax help submit enquiries.</w:t>
      </w:r>
    </w:p>
    <w:p>
      <w:r>
        <w:rPr/>
        <w:t>(B) The Introducer has arranged for Sidekick Accounting Ltd (company number 12250170) ("Sidekick") to triage those enquiries. Work that is Compliance Work is directed to Sidekick. Work that is Advisory Work is referred to the Adviser under this agreement.</w:t>
      </w:r>
    </w:p>
    <w:p>
      <w:r>
        <w:rPr/>
        <w:t>(C) The Adviser will pay the Introducer a fee of 20 per cent of the Advisory Fees it bills each Referred Client, for 24 months from the date of that client's Referral.</w:t>
      </w:r>
    </w:p>
    <w:p>
      <w:r>
        <w:rPr/>
        <w:t>(D) The sharing of personal data under this arrangement is governed by the separate Data Sharing Agreement between the Introducer and the Adviser (the "Data Sharing Agreement"), which the parties sign alongside this agreement.</w:t>
      </w:r>
    </w:p>
    <w:p>
      <w:r>
        <w:rPr/>
        <w:t>IT IS AGREED as follows.</w:t>
      </w:r>
    </w:p>
    <w:p>
      <w:pPr>
        <w:pStyle w:val="Heading2"/>
      </w:pPr>
      <w:r>
        <w:rPr/>
        <w:t>1. DEFINITIONS</w:t>
      </w:r>
    </w:p>
    <w:p>
      <w:r>
        <w:rPr/>
        <w:t>1.1 In this agreement:</w:t>
      </w:r>
    </w:p>
    <w:p>
      <w:r>
        <w:rPr/>
        <w:t>"Advisory Work" means tax advisory, planning, structuring, consultancy and one-off advisory engagements, and any other work the parties agree in writing to treat as advisory. It does not include Compliance Work. Any work that does not fall within the definition of Compliance Work is Advisory Work, and where the classification of any work is in doubt or disputed, the Introducer's classification, made reasonably and notified in writing, is final.</w:t>
      </w:r>
    </w:p>
    <w:p>
      <w:r>
        <w:rPr/>
        <w:t>"Compliance Work" means recurring compliance services, including bookkeeping, VAT returns, payroll, accounts preparation, corporation tax returns, self assessment returns, company secretarial filings and similar recurring engagements.</w:t>
      </w:r>
    </w:p>
    <w:p>
      <w:r>
        <w:rPr/>
        <w:t>"Referral" means the Introducer, or Sidekick on its behalf, passing an enquiry or client to the Adviser for Advisory Work, and "Refer" and "Referred" are construed accordingly.</w:t>
      </w:r>
    </w:p>
    <w:p>
      <w:r>
        <w:rPr/>
        <w:t>"Referred Client" means a person or business who first came to the Adviser through a Referral, including any business owned or controlled by that person and any successor engagement with the same person.</w:t>
      </w:r>
    </w:p>
    <w:p>
      <w:r>
        <w:rPr/>
        <w:t>"Advisory Fees" means all fees the Adviser bills a Referred Client for Advisory Work, net of VAT and net of disbursements charged at cost.</w:t>
      </w:r>
    </w:p>
    <w:p>
      <w:r>
        <w:rPr/>
        <w:t>"Referral Fee" means 20 per cent of Advisory Fees.</w:t>
      </w:r>
    </w:p>
    <w:p>
      <w:r>
        <w:rPr/>
        <w:t>"Working Day" means a day other than a Saturday, Sunday or bank holiday in England.</w:t>
      </w:r>
    </w:p>
    <w:p>
      <w:pPr>
        <w:pStyle w:val="Heading2"/>
      </w:pPr>
      <w:r>
        <w:rPr/>
        <w:t>2. REFERRALS AND TRIAGE</w:t>
      </w:r>
    </w:p>
    <w:p>
      <w:r>
        <w:rPr/>
        <w:t>2.1 Sidekick triages each enquiry. Enquiries needing Compliance Work go to Sidekick; enquiries needing Advisory Work are Referred to the Adviser. An enquiry needing both is split: Sidekick takes the Compliance Work and the Adviser takes the Advisory Work.</w:t>
      </w:r>
    </w:p>
    <w:p>
      <w:r>
        <w:rPr/>
        <w:t>2.2 Neither party is obliged to refer, or to accept, any particular volume of enquiries. The Adviser may decline any Referral. The Introducer gives no warranty as to the quality, accuracy or conversion of any enquiry.</w:t>
      </w:r>
    </w:p>
    <w:p>
      <w:r>
        <w:rPr/>
        <w:t>2.3 The Adviser decides for itself whether to act for any Referred Client and does so under its own engagement letter, on its own terms and at its own risk.</w:t>
      </w:r>
    </w:p>
    <w:p>
      <w:pPr>
        <w:pStyle w:val="Heading2"/>
      </w:pPr>
      <w:r>
        <w:rPr/>
        <w:t>3. SCOPE</w:t>
      </w:r>
    </w:p>
    <w:p>
      <w:r>
        <w:rPr/>
        <w:t>3.1 The Adviser will only carry out Advisory Work for a Referred Client. If a Referred Client asks the Adviser for Compliance Work, the Adviser will direct that work to Sidekick and will not carry it out itself, refer it to any other firm, or solicit it, while this agreement is in force and for 12 months after termination.</w:t>
      </w:r>
    </w:p>
    <w:p>
      <w:r>
        <w:rPr/>
        <w:t>3.2 If the parties want the Adviser to take on any Compliance Work for a particular Referred Client, they will agree that in writing first, including any fee treatment.</w:t>
      </w:r>
    </w:p>
    <w:p>
      <w:pPr>
        <w:pStyle w:val="Heading2"/>
      </w:pPr>
      <w:r>
        <w:rPr/>
        <w:t>4. REFERRAL FEE</w:t>
      </w:r>
    </w:p>
    <w:p>
      <w:r>
        <w:rPr/>
        <w:t>4.1 The Adviser will pay the Introducer the Referral Fee on all Advisory Fees billed to each Referred Client for a period of 24 months from the date of the Referral of that Referred Client. This obligation survives termination of this agreement in respect of every person who became a Referred Client before termination, until the end of that 24 month period.</w:t>
      </w:r>
    </w:p>
    <w:p>
      <w:r>
        <w:rPr/>
        <w:t>4.2 Within 10 Working Days of the end of each calendar month, the Adviser will send the Introducer a statement listing, for that month, each Referred Client billed, the Advisory Fees billed and the Referral Fee due. A month with nothing billed needs a nil statement only if the Introducer asks for one.</w:t>
      </w:r>
    </w:p>
    <w:p>
      <w:r>
        <w:rPr/>
        <w:t>4.3 The Introducer will invoice the Referral Fee shown on each statement, and the Adviser will pay within 14 days of the invoice. The Referral Fee is exclusive of VAT, which the Adviser will pay in addition where chargeable. Late payment carries interest and compensation under the Late Payment of Commercial Debts (Interest) Act 1998.</w:t>
      </w:r>
    </w:p>
    <w:p>
      <w:r>
        <w:rPr/>
        <w:t>4.4 If the Adviser writes off or credits an Advisory Fee on which a Referral Fee was paid, the corresponding Referral Fee is credited against the next statement.</w:t>
      </w:r>
    </w:p>
    <w:p>
      <w:pPr>
        <w:pStyle w:val="Heading2"/>
      </w:pPr>
      <w:r>
        <w:rPr/>
        <w:t>5. THE ADVISER'S STANDING</w:t>
      </w:r>
    </w:p>
    <w:p>
      <w:r>
        <w:rPr/>
        <w:t>5.1 The Adviser confirms that it holds, and will maintain while acting for any Referred Client: any professional body membership or supervision it needs for the work it does; supervision for anti money laundering purposes; and professional indemnity insurance appropriate to its work.</w:t>
      </w:r>
    </w:p>
    <w:p>
      <w:r>
        <w:rPr/>
        <w:t>5.2 The Adviser is solely responsible for the services it provides to Referred Clients, for its own client due diligence and onboarding, and for its own regulatory compliance. The Introducer is not responsible for any advice given to a Referred Client and is not a party to any engagement between the Adviser and a Referred Client.</w:t>
      </w:r>
    </w:p>
    <w:p>
      <w:r>
        <w:rPr/>
        <w:t>5.3 Each party will disclose its referral arrangement to a Referred Client where its professional or legal obligations require it to do so.</w:t>
      </w:r>
    </w:p>
    <w:p>
      <w:r>
        <w:rPr/>
        <w:t>5.4 The Adviser will indemnify the Introducer against losses, claims and costs brought against the Introducer by a Referred Client or any third party to the extent arising from the services the Adviser provides or fails to provide, from the Adviser's use of data referred under the Data Sharing Agreement, or from the Adviser's breach of law or of this agreement. The Introducer is an introducer only and gives no advice to any Referred Client.</w:t>
      </w:r>
    </w:p>
    <w:p>
      <w:pPr>
        <w:pStyle w:val="Heading2"/>
      </w:pPr>
      <w:r>
        <w:rPr/>
        <w:t>6. DATA PROTECTION</w:t>
      </w:r>
    </w:p>
    <w:p>
      <w:r>
        <w:rPr/>
        <w:t>6.1 All sharing of personal data between the parties is governed by the Data Sharing Agreement. If this agreement and the Data Sharing Agreement conflict on a data protection matter, the Data Sharing Agreement prevails.</w:t>
      </w:r>
    </w:p>
    <w:p>
      <w:r>
        <w:rPr/>
        <w:t>6.2 Where the Adviser's personnel access data referred under the Data Sharing Agreement from outside the United Kingdom, that access takes place under the international data transfer agreement at Schedule 1 to the Data Sharing Agreement.</w:t>
      </w:r>
    </w:p>
    <w:p>
      <w:pPr>
        <w:pStyle w:val="Heading2"/>
      </w:pPr>
      <w:r>
        <w:rPr/>
        <w:t>7. TERM AND TERMINATION</w:t>
      </w:r>
    </w:p>
    <w:p>
      <w:r>
        <w:rPr/>
        <w:t>7.1 This agreement starts on the date of the last signature below and continues until terminated.</w:t>
      </w:r>
    </w:p>
    <w:p>
      <w:r>
        <w:rPr/>
        <w:t>7.2 Either party may terminate on 30 days' written notice. Either party may terminate immediately on written notice if the other commits a material breach it does not remedy within 14 days of written notice, or that cannot be remedied.</w:t>
      </w:r>
    </w:p>
    <w:p>
      <w:r>
        <w:rPr/>
        <w:t>7.3 Clauses 3.1 (for 12 months), 4 (for Referred Clients existing at termination), 5.2, 5.4, 6 and 8 survive termination.</w:t>
      </w:r>
    </w:p>
    <w:p>
      <w:pPr>
        <w:pStyle w:val="Heading2"/>
      </w:pPr>
      <w:r>
        <w:rPr/>
        <w:t>8. GENERAL</w:t>
      </w:r>
    </w:p>
    <w:p>
      <w:r>
        <w:rPr/>
        <w:t>8.1 Nothing in this agreement creates a partnership, joint venture, agency or employment relationship. Sidekick is not a party to this agreement and has no rights under it; a person who is not a party has no right under the Contracts (Rights of Third Parties) Act 1999 to enforce it.</w:t>
      </w:r>
    </w:p>
    <w:p>
      <w:r>
        <w:rPr/>
        <w:t>8.2 This agreement and the Data Sharing Agreement (including its Schedule 1 international data transfer agreement) together are the entire agreement between the parties about the referral arrangement and supersede all prior discussions about it.</w:t>
      </w:r>
    </w:p>
    <w:p>
      <w:r>
        <w:rPr/>
        <w:t>8.3 No variation is effective unless in writing and signed by both parties. Neither party may assign this agreement without the other's prior written consent.</w:t>
      </w:r>
    </w:p>
    <w:p>
      <w:r>
        <w:rPr/>
        <w:t>8.4 Notices go in writing to the email address in the signature block and are deemed received at sending on a Working Day before 5.00pm, otherwise at 9.00am the next Working Day.</w:t>
      </w:r>
    </w:p>
    <w:p>
      <w:r>
        <w:rPr/>
        <w:t>8.5 This agreement may be signed in counterparts, including by electronic signature. It is governed by the law of England and Wales, and the parties submit to the exclusive jurisdiction of its courts.</w:t>
      </w:r>
    </w:p>
    <w:p>
      <w:pPr>
        <w:pStyle w:val="Heading2"/>
      </w:pPr>
      <w:r>
        <w:rPr/>
        <w:t>SIGNATURES</w:t>
      </w:r>
    </w:p>
    <w:tbl>
      <w:tblPr>
        <w:tblStyle w:val="TableGrid"/>
        <w:tblW w:type="auto" w:w="0"/>
        <w:tblLook w:firstColumn="1" w:firstRow="1" w:lastColumn="0" w:lastRow="0" w:noHBand="0" w:noVBand="1" w:val="04A0"/>
        <w:tblBorders>
          <w:top w:val="single" w:sz="4" w:space="0" w:color="C9CFDA"/>
          <w:left w:val="single" w:sz="4" w:space="0" w:color="C9CFDA"/>
          <w:bottom w:val="single" w:sz="4" w:space="0" w:color="C9CFDA"/>
          <w:right w:val="single" w:sz="4" w:space="0" w:color="C9CFDA"/>
          <w:insideH w:val="single" w:sz="4" w:space="0" w:color="C9CFDA"/>
          <w:insideV w:val="single" w:sz="4" w:space="0" w:color="C9CFDA"/>
        </w:tblBorders>
      </w:tblPr>
      <w:tblGrid>
        <w:gridCol w:w="5256"/>
        <w:gridCol w:w="5256"/>
      </w:tblGrid>
      <w:tr>
        <w:trPr>
          <w:tblHeader w:val="true"/>
        </w:trPr>
        <w:tc>
          <w:tcPr>
            <w:tcW w:type="dxa" w:w="5256"/>
            <w:shd w:val="clear" w:color="auto" w:fill="1F3355"/>
          </w:tcPr>
          <w:p>
            <w:pPr>
              <w:spacing w:after="40" w:before="40"/>
            </w:pPr>
            <w:r>
              <w:rPr>
                <w:b/>
                <w:color w:val="FFFFFF"/>
              </w:rPr>
              <w:t>Introducer: Ashfield Trading Limited</w:t>
            </w:r>
          </w:p>
        </w:tc>
        <w:tc>
          <w:tcPr>
            <w:tcW w:type="dxa" w:w="5256"/>
            <w:shd w:val="clear" w:color="auto" w:fill="1F3355"/>
          </w:tcPr>
          <w:p>
            <w:pPr>
              <w:spacing w:after="40" w:before="40"/>
            </w:pPr>
            <w:r>
              <w:rPr>
                <w:b/>
                <w:color w:val="FFFFFF"/>
              </w:rPr>
              <w:t>Adviser: Aswatax Ltd</w:t>
            </w:r>
          </w:p>
        </w:tc>
      </w:tr>
      <w:tr>
        <w:tc>
          <w:tcPr>
            <w:tcW w:type="dxa" w:w="5256"/>
          </w:tcPr>
          <w:p>
            <w:pPr>
              <w:spacing w:after="40" w:before="40"/>
            </w:pPr>
            <w:r>
              <w:rPr/>
              <w:t>Signature: MJ MOUGHAL</w:t>
            </w:r>
          </w:p>
        </w:tc>
        <w:tc>
          <w:tcPr>
            <w:tcW w:type="dxa" w:w="5256"/>
          </w:tcPr>
          <w:p>
            <w:pPr>
              <w:spacing w:after="40" w:before="40"/>
            </w:pPr>
            <w:r>
              <w:rPr/>
              <w:t>Signature: ............................................</w:t>
            </w:r>
          </w:p>
        </w:tc>
      </w:tr>
      <w:tr>
        <w:tc>
          <w:tcPr>
            <w:tcW w:type="dxa" w:w="5256"/>
          </w:tcPr>
          <w:p>
            <w:pPr>
              <w:spacing w:after="40" w:before="40"/>
            </w:pPr>
            <w:r>
              <w:rPr/>
              <w:t>Name: Mohammed Junayd Moughal</w:t>
            </w:r>
          </w:p>
        </w:tc>
        <w:tc>
          <w:tcPr>
            <w:tcW w:type="dxa" w:w="5256"/>
          </w:tcPr>
          <w:p>
            <w:pPr>
              <w:spacing w:after="40" w:before="40"/>
            </w:pPr>
            <w:r>
              <w:rPr/>
              <w:t>Name: ............................................</w:t>
            </w:r>
          </w:p>
        </w:tc>
      </w:tr>
      <w:tr>
        <w:tc>
          <w:tcPr>
            <w:tcW w:type="dxa" w:w="5256"/>
          </w:tcPr>
          <w:p>
            <w:pPr>
              <w:spacing w:after="40" w:before="40"/>
            </w:pPr>
            <w:r>
              <w:rPr/>
              <w:t>Title: Director</w:t>
            </w:r>
          </w:p>
        </w:tc>
        <w:tc>
          <w:tcPr>
            <w:tcW w:type="dxa" w:w="5256"/>
          </w:tcPr>
          <w:p>
            <w:pPr>
              <w:spacing w:after="40" w:before="40"/>
            </w:pPr>
            <w:r>
              <w:rPr/>
              <w:t>Title: ............................................</w:t>
            </w:r>
          </w:p>
        </w:tc>
      </w:tr>
      <w:tr>
        <w:tc>
          <w:tcPr>
            <w:tcW w:type="dxa" w:w="5256"/>
          </w:tcPr>
          <w:p>
            <w:pPr>
              <w:spacing w:after="40" w:before="40"/>
            </w:pPr>
            <w:r>
              <w:rPr/>
              <w:t>Date: 27 August 2026</w:t>
            </w:r>
          </w:p>
        </w:tc>
        <w:tc>
          <w:tcPr>
            <w:tcW w:type="dxa" w:w="5256"/>
          </w:tcPr>
          <w:p>
            <w:pPr>
              <w:spacing w:after="40" w:before="40"/>
            </w:pPr>
            <w:r>
              <w:rPr/>
              <w:t>Date: ............................................</w:t>
            </w:r>
          </w:p>
        </w:tc>
      </w:tr>
      <w:tr>
        <w:tc>
          <w:tcPr>
            <w:tcW w:type="dxa" w:w="5256"/>
          </w:tcPr>
          <w:p>
            <w:pPr>
              <w:spacing w:after="40" w:before="40"/>
            </w:pPr>
            <w:r>
              <w:rPr/>
              <w:t>Notices email: junayd@ashfieldtrading.com</w:t>
            </w:r>
          </w:p>
        </w:tc>
        <w:tc>
          <w:tcPr>
            <w:tcW w:type="dxa" w:w="5256"/>
          </w:tcPr>
          <w:p>
            <w:pPr>
              <w:spacing w:after="40" w:before="40"/>
            </w:pPr>
            <w:r>
              <w:rPr/>
              <w:t>Notices email: ............................................</w:t>
            </w:r>
          </w:p>
        </w:tc>
      </w:tr>
    </w:tbl>
    <w:sectPr w:rsidR="00FC693F" w:rsidRPr="0006063C" w:rsidSect="00034616">
      <w:footerReference w:type="default" r:id="rId9"/>
      <w:pgSz w:w="12240" w:h="15840"/>
      <w:pgMar w:top="864" w:right="864" w:bottom="864" w:left="86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 xml:space="preserve">Lead Generation and Data Sharing Agreement    |    Page </w:t>
    </w:r>
    <w:r>
      <w:rPr>
        <w:rFonts w:ascii="Calibri" w:hAnsi="Calibri"/>
        <w:color w:val="6B7280"/>
        <w:sz w:val="17"/>
      </w:rPr>
      <w:fldChar w:fldCharType="begin"/>
      <w:instrText xml:space="preserve">PAGE</w:instrText>
      <w:fldChar w:fldCharType="end"/>
    </w:r>
    <w:r>
      <w:rPr>
        <w:rFonts w:ascii="Calibri" w:hAnsi="Calibri"/>
        <w:color w:val="6B7280"/>
        <w:sz w:val="17"/>
      </w:rPr>
      <w:t xml:space="preserve"> of </w:t>
    </w:r>
    <w:r>
      <w:rPr>
        <w:rFonts w:ascii="Calibri" w:hAnsi="Calibri"/>
        <w:color w:val="6B7280"/>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5"/>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F3355"/>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val="0"/>
      <w:color w:val="1F3355"/>
      <w:sz w:val="22"/>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1F33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