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200" w:before="0"/>
        <w:jc w:val="center"/>
      </w:pPr>
      <w:r>
        <w:rPr>
          <w:rFonts w:ascii="Calibri" w:cs="Calibri" w:eastAsia="Calibri" w:hAnsi="Calibri"/>
          <w:b/>
          <w:bCs/>
          <w:color w:val="1F4E79"/>
          <w:sz w:val="52"/>
          <w:szCs w:val="52"/>
        </w:rPr>
        <w:t xml:space="preserve">CUSTOMER ANALYTICS REPORT</w:t>
      </w:r>
    </w:p>
    <w:p>
      <w:pPr>
        <w:spacing w:after="800" w:before="0"/>
        <w:jc w:val="center"/>
      </w:pPr>
      <w:r>
        <w:rPr>
          <w:rFonts w:ascii="Calibri" w:cs="Calibri" w:eastAsia="Calibri" w:hAnsi="Calibri"/>
          <w:color w:val="2E75B6"/>
          <w:sz w:val="28"/>
          <w:szCs w:val="28"/>
        </w:rPr>
        <w:t xml:space="preserve">Revenue, Satisfaction &amp; Visitor Behaviour Analysis</w:t>
      </w:r>
    </w:p>
    <w:p>
      <w:pPr>
        <w:pBdr>
          <w:top w:val="single" w:color="378ADD" w:sz="6" w:space="4"/>
          <w:bottom w:val="single" w:color="378ADD" w:sz="6" w:space="4"/>
        </w:pBdr>
        <w:spacing w:after="0" w:before="0"/>
        <w:jc w:val="center"/>
      </w:pPr>
      <w:r>
        <w:rPr>
          <w:sz w:val="22"/>
          <w:szCs w:val="22"/>
        </w:rPr>
        <w:t xml:space="preserve"/>
      </w:r>
    </w:p>
    <w:p>
      <w:pPr>
        <w:spacing w:after="80" w:before="80"/>
      </w:pPr>
      <w:r>
        <w:t xml:space="preserve"/>
      </w:r>
    </w:p>
    <w:p>
      <w:pPr>
        <w:spacing w:after="60" w:before="100"/>
        <w:jc w:val="center"/>
      </w:pPr>
      <w:r>
        <w:rPr>
          <w:rFonts w:ascii="Calibri" w:cs="Calibri" w:eastAsia="Calibri" w:hAnsi="Calibri"/>
          <w:color w:val="555555"/>
          <w:sz w:val="22"/>
          <w:szCs w:val="22"/>
        </w:rPr>
        <w:t xml:space="preserve">Prepared for: Management Review</w:t>
      </w:r>
    </w:p>
    <w:p>
      <w:pPr>
        <w:spacing w:after="60" w:before="0"/>
        <w:jc w:val="center"/>
      </w:pPr>
      <w:r>
        <w:rPr>
          <w:rFonts w:ascii="Calibri" w:cs="Calibri" w:eastAsia="Calibri" w:hAnsi="Calibri"/>
          <w:color w:val="555555"/>
          <w:sz w:val="22"/>
          <w:szCs w:val="22"/>
        </w:rPr>
        <w:t xml:space="preserve">Dataset: 800 Customers | 7 Countries | 4 Seating Regions</w:t>
      </w:r>
    </w:p>
    <w:p>
      <w:pPr>
        <w:spacing w:after="1440" w:before="0"/>
        <w:jc w:val="center"/>
      </w:pPr>
      <w:r>
        <w:rPr>
          <w:rFonts w:ascii="Calibri" w:cs="Calibri" w:eastAsia="Calibri" w:hAnsi="Calibri"/>
          <w:color w:val="555555"/>
          <w:sz w:val="22"/>
          <w:szCs w:val="22"/>
        </w:rPr>
        <w:t xml:space="preserve">May 2026</w:t>
      </w:r>
    </w:p>
    <w:p>
      <w:r>
        <w:br w:type="page"/>
      </w:r>
    </w:p>
    <w:p>
      <w:pPr>
        <w:spacing w:after="160" w:before="360"/>
      </w:pPr>
      <w:r>
        <w:rPr>
          <w:rFonts w:ascii="Calibri" w:cs="Calibri" w:eastAsia="Calibri" w:hAnsi="Calibri"/>
          <w:b/>
          <w:bCs/>
          <w:color w:val="1F4E79"/>
          <w:sz w:val="36"/>
          <w:szCs w:val="36"/>
        </w:rPr>
        <w:t xml:space="preserve">Executive Summary</w:t>
      </w:r>
    </w:p>
    <w:p>
      <w:pPr>
        <w:spacing w:after="100" w:before="60"/>
      </w:pPr>
      <w:r>
        <w:rPr>
          <w:rFonts w:ascii="Calibri" w:cs="Calibri" w:eastAsia="Calibri" w:hAnsi="Calibri"/>
          <w:color w:val="2C2C2C"/>
          <w:sz w:val="22"/>
          <w:szCs w:val="22"/>
        </w:rPr>
        <w:t xml:space="preserve">This report analyses customer revenue, satisfaction, and behavioural data across 800 visitors to provide management with actionable insights. The dataset spans 7 countries, 4 seating tiers, and two visitor types (first-time and repeat), covering total revenue of $293,712.</w:t>
      </w:r>
    </w:p>
    <w:p>
      <w:pPr>
        <w:spacing w:after="80" w:before="80"/>
      </w:pPr>
      <w:r>
        <w:t xml:space="preserve"/>
      </w:r>
    </w:p>
    <w:p>
      <w:pPr>
        <w:spacing w:after="80" w:before="200"/>
      </w:pPr>
      <w:r>
        <w:rPr>
          <w:rFonts w:ascii="Calibri" w:cs="Calibri" w:eastAsia="Calibri" w:hAnsi="Calibri"/>
          <w:b/>
          <w:bCs/>
          <w:color w:val="333333"/>
          <w:sz w:val="24"/>
          <w:szCs w:val="24"/>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Total Revenue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$293,712</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Total Customers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Average Revenue per Customer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$367.14</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Average Satisfaction Score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 / 10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Average Recommendation Likelihood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 / 10</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Repeat Visitor Rate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30.2% (242 customers)</w:t>
            </w:r>
          </w:p>
        </w:tc>
      </w:tr>
    </w:tbl>
    <w:p>
      <w:pPr>
        <w:spacing w:after="80" w:before="80"/>
      </w:pPr>
      <w:r>
        <w:t xml:space="preserve"/>
      </w:r>
    </w:p>
    <w:p>
      <w:pPr>
        <w:spacing w:after="100" w:before="60"/>
      </w:pPr>
      <w:r>
        <w:rPr>
          <w:rFonts w:ascii="Calibri" w:cs="Calibri" w:eastAsia="Calibri" w:hAnsi="Calibri"/>
          <w:color w:val="2C2C2C"/>
          <w:sz w:val="22"/>
          <w:szCs w:val="22"/>
        </w:rPr>
        <w:t xml:space="preserve">The business is performing well overall, with strong satisfaction scores and healthy average spend. However, there are clear opportunities to grow revenue through repeat visitor conversion, premium tier upselling, and targeted engagement with high-value age segments.</w:t>
      </w:r>
    </w:p>
    <w:p>
      <w:r>
        <w:br w:type="page"/>
      </w:r>
    </w:p>
    <w:p>
      <w:pPr>
        <w:pBdr>
          <w:bottom w:val="single" w:color="378ADD" w:sz="6" w:space="4"/>
        </w:pBdr>
        <w:spacing w:after="120" w:before="280"/>
      </w:pPr>
      <w:r>
        <w:rPr>
          <w:rFonts w:ascii="Calibri" w:cs="Calibri" w:eastAsia="Calibri" w:hAnsi="Calibri"/>
          <w:b/>
          <w:bCs/>
          <w:color w:val="2E75B6"/>
          <w:sz w:val="28"/>
          <w:szCs w:val="28"/>
        </w:rPr>
        <w:t xml:space="preserve">1. Which Customer Groups Contribute Most to Total Revenue?</w:t>
      </w:r>
    </w:p>
    <w:p>
      <w:pPr>
        <w:spacing w:after="80" w:before="80"/>
      </w:pPr>
      <w:r>
        <w:t xml:space="preserve"/>
      </w:r>
    </w:p>
    <w:p>
      <w:pPr>
        <w:spacing w:after="80" w:before="200"/>
      </w:pPr>
      <w:r>
        <w:rPr>
          <w:rFonts w:ascii="Calibri" w:cs="Calibri" w:eastAsia="Calibri" w:hAnsi="Calibri"/>
          <w:b/>
          <w:bCs/>
          <w:color w:val="333333"/>
          <w:sz w:val="24"/>
          <w:szCs w:val="24"/>
        </w:rPr>
        <w:t xml:space="preserve">1.1 Revenue by Age Group</w:t>
      </w:r>
    </w:p>
    <w:p>
      <w:pPr>
        <w:spacing w:after="100" w:before="60"/>
      </w:pPr>
      <w:r>
        <w:rPr>
          <w:rFonts w:ascii="Calibri" w:cs="Calibri" w:eastAsia="Calibri" w:hAnsi="Calibri"/>
          <w:color w:val="2C2C2C"/>
          <w:sz w:val="22"/>
          <w:szCs w:val="22"/>
        </w:rPr>
        <w:t xml:space="preserve">The 36-50 age group is the single largest revenue driver, contributing $94,757 (32.3% of total revenue) and representing the largest customer cohort (253 visitors). The 51-65 group ranks second with $80,723 across 226 customers.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800"/>
        <w:gridCol w:w="1700"/>
        <w:gridCol w:w="1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 Group</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Revenue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Revenue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Customers</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of Total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18-25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$45,511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$379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120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15.5%</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26-35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$48,853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$365</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134</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16.6%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36-50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$94,757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$375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253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32.3%</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51-65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$80,723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$357</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226</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27.5%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65+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$23,868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67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8.1%</w:t>
            </w:r>
          </w:p>
        </w:tc>
      </w:tr>
    </w:tbl>
    <w:p>
      <w:pPr>
        <w:spacing w:after="80" w:before="80"/>
      </w:pPr>
      <w:r>
        <w:t xml:space="preserve"/>
      </w:r>
    </w:p>
    <w:p>
      <w:pPr>
        <w:spacing w:after="100" w:before="60"/>
      </w:pPr>
      <w:r>
        <w:rPr>
          <w:rFonts w:ascii="Calibri" w:cs="Calibri" w:eastAsia="Calibri" w:hAnsi="Calibri"/>
          <w:color w:val="2C2C2C"/>
          <w:sz w:val="22"/>
          <w:szCs w:val="22"/>
        </w:rPr>
        <w:t xml:space="preserve">Notably, younger visitors aged 18-25 show a higher average spend ($379) than the 26-35 group ($365), suggesting strong per-visit value despite smaller group size. The 65+ segment is underrepresented and warrants targeted outreach.</w:t>
      </w:r>
    </w:p>
    <w:p>
      <w:pPr>
        <w:spacing w:after="80" w:before="80"/>
      </w:pPr>
      <w:r>
        <w:t xml:space="preserve"/>
      </w:r>
    </w:p>
    <w:p>
      <w:pPr>
        <w:spacing w:after="80" w:before="200"/>
      </w:pPr>
      <w:r>
        <w:rPr>
          <w:rFonts w:ascii="Calibri" w:cs="Calibri" w:eastAsia="Calibri" w:hAnsi="Calibri"/>
          <w:b/>
          <w:bCs/>
          <w:color w:val="333333"/>
          <w:sz w:val="24"/>
          <w:szCs w:val="24"/>
        </w:rPr>
        <w:t xml:space="preserve">1.2 Revenue by Gender</w:t>
      </w:r>
    </w:p>
    <w:p>
      <w:pPr>
        <w:spacing w:after="100" w:before="60"/>
      </w:pPr>
      <w:r>
        <w:rPr>
          <w:rFonts w:ascii="Calibri" w:cs="Calibri" w:eastAsia="Calibri" w:hAnsi="Calibri"/>
          <w:color w:val="2C2C2C"/>
          <w:sz w:val="22"/>
          <w:szCs w:val="22"/>
        </w:rPr>
        <w:t xml:space="preserve">Female visitors represent 49.9% of customers but contribute 50.1% of total revenue, reflecting a marginally higher average spend ($368.84 vs $364.75 for males). All gender groups show closely aligned average revenue, indicating consistent value across demographics.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Gender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Revenue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Revenue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Customers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Female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$147,168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$368.84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399</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Male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$117,084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$364.75</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321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Other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$29,460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$368.25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w:t>
            </w:r>
          </w:p>
        </w:tc>
      </w:tr>
    </w:tbl>
    <w:p>
      <w:r>
        <w:br w:type="page"/>
      </w:r>
    </w:p>
    <w:p>
      <w:pPr>
        <w:pBdr>
          <w:bottom w:val="single" w:color="378ADD" w:sz="6" w:space="4"/>
        </w:pBdr>
        <w:spacing w:after="120" w:before="280"/>
      </w:pPr>
      <w:r>
        <w:rPr>
          <w:rFonts w:ascii="Calibri" w:cs="Calibri" w:eastAsia="Calibri" w:hAnsi="Calibri"/>
          <w:b/>
          <w:bCs/>
          <w:color w:val="2E75B6"/>
          <w:sz w:val="28"/>
          <w:szCs w:val="28"/>
        </w:rPr>
        <w:t xml:space="preserve">2. Which Seating Regions Generate the Highest Value?</w:t>
      </w:r>
    </w:p>
    <w:p>
      <w:pPr>
        <w:spacing w:after="80" w:before="80"/>
      </w:pPr>
      <w:r>
        <w:t xml:space="preserve"/>
      </w:r>
    </w:p>
    <w:p>
      <w:pPr>
        <w:spacing w:after="100" w:before="60"/>
      </w:pPr>
      <w:r>
        <w:rPr>
          <w:rFonts w:ascii="Calibri" w:cs="Calibri" w:eastAsia="Calibri" w:hAnsi="Calibri"/>
          <w:color w:val="2C2C2C"/>
          <w:sz w:val="22"/>
          <w:szCs w:val="22"/>
        </w:rPr>
        <w:t xml:space="preserve">Seating tier is one of the strongest predictors of average revenue per customer. VIP customers spend on average $551.70 per visit compared to just $234.91 for Economy customers — a 135% difference.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400"/>
        <w:gridCol w:w="1600"/>
        <w:gridCol w:w="1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Seating Region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Revenue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Revenue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Customers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Satisfaction</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VIP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$75,582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$551.70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137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Premium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$87,641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$463.71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189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8.08</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High Economy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$72,701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$318.86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228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Economy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$57,789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$234.91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246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7.90</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7.92</w:t>
            </w:r>
          </w:p>
        </w:tc>
      </w:tr>
    </w:tbl>
    <w:p>
      <w:pPr>
        <w:spacing w:after="80" w:before="80"/>
      </w:pPr>
      <w:r>
        <w:t xml:space="preserve"/>
      </w:r>
    </w:p>
    <w:p>
      <w:pPr>
        <w:spacing w:after="100" w:before="60"/>
      </w:pPr>
      <w:r>
        <w:rPr>
          <w:rFonts w:ascii="Calibri" w:cs="Calibri" w:eastAsia="Calibri" w:hAnsi="Calibri"/>
          <w:color w:val="2C2C2C"/>
          <w:sz w:val="22"/>
          <w:szCs w:val="22"/>
        </w:rPr>
        <w:t xml:space="preserve">Premium seating generates the highest total revenue ($87,641) due to a combination of strong per-customer spend and the largest proportion of visitors in an upper tier. Crucially, Premium outperforms VIP on satisfaction (8.08 vs 7.94), suggesting VIP customers may not feel the experience fully justifies its premium price point — an area for service enhancement.</w:t>
      </w:r>
    </w:p>
    <w:p>
      <w:pPr>
        <w:spacing w:after="80" w:before="80"/>
      </w:pPr>
      <w:r>
        <w:t xml:space="preserve"/>
      </w:r>
    </w:p>
    <w:p>
      <w:pPr>
        <w:spacing w:after="100" w:before="60"/>
      </w:pPr>
      <w:r>
        <w:rPr>
          <w:rFonts w:ascii="Calibri" w:cs="Calibri" w:eastAsia="Calibri" w:hAnsi="Calibri"/>
          <w:color w:val="2C2C2C"/>
          <w:sz w:val="22"/>
          <w:szCs w:val="22"/>
        </w:rPr>
        <w:t xml:space="preserve">High Economy customers, while lower in average spend, show satisfaction and recommendation scores comparable to Premium (8.06 and 8.07 respectively), making them a strong base for upselling and loyalty engagement.</w:t>
      </w:r>
    </w:p>
    <w:p>
      <w:r>
        <w:br w:type="page"/>
      </w:r>
    </w:p>
    <w:p>
      <w:pPr>
        <w:pBdr>
          <w:bottom w:val="single" w:color="378ADD" w:sz="6" w:space="4"/>
        </w:pBdr>
        <w:spacing w:after="120" w:before="280"/>
      </w:pPr>
      <w:r>
        <w:rPr>
          <w:rFonts w:ascii="Calibri" w:cs="Calibri" w:eastAsia="Calibri" w:hAnsi="Calibri"/>
          <w:b/>
          <w:bCs/>
          <w:color w:val="2E75B6"/>
          <w:sz w:val="28"/>
          <w:szCs w:val="28"/>
        </w:rPr>
        <w:t xml:space="preserve">3. Do Repeat Visitors Spend More Than First-Time Visitors?</w:t>
      </w:r>
    </w:p>
    <w:p>
      <w:pPr>
        <w:spacing w:after="80" w:before="80"/>
      </w:pPr>
      <w:r>
        <w:t xml:space="preserve"/>
      </w:r>
    </w:p>
    <w:p>
      <w:pPr>
        <w:spacing w:after="100" w:before="60"/>
      </w:pPr>
      <w:r>
        <w:rPr>
          <w:rFonts w:ascii="Calibri" w:cs="Calibri" w:eastAsia="Calibri" w:hAnsi="Calibri"/>
          <w:color w:val="2C2C2C"/>
          <w:sz w:val="22"/>
          <w:szCs w:val="22"/>
        </w:rPr>
        <w:t xml:space="preserve">Yes. Repeat visitors spend on average $384.76 per visit compared to $359.50 for first-time visitors — a 7% premium. They also show marginally higher satisfaction and recommendation scores, indicating stronger brand affinity.</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1500"/>
        <w:gridCol w:w="1700"/>
        <w:gridCol w:w="1500"/>
        <w:gridCol w:w="86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Visitor 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Customers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Revenue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Satisfaction</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Recommendation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Merch Spend</w:t>
            </w:r>
          </w:p>
        </w:tc>
        <w:tc>
          <w:tcPr>
            <w:tcW w:type="dxa" w:w="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Drink Spend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First-time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558 (69.8%)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$359.50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$59.41</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$19.64</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Repeat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242 (30.2%)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$384.76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8.05</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$60.40</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$20.02</w:t>
            </w:r>
          </w:p>
        </w:tc>
      </w:tr>
    </w:tbl>
    <w:p>
      <w:pPr>
        <w:spacing w:after="80" w:before="80"/>
      </w:pPr>
      <w:r>
        <w:t xml:space="preserve"/>
      </w:r>
    </w:p>
    <w:p>
      <w:pPr>
        <w:spacing w:after="100" w:before="60"/>
      </w:pPr>
      <w:r>
        <w:rPr>
          <w:rFonts w:ascii="Calibri" w:cs="Calibri" w:eastAsia="Calibri" w:hAnsi="Calibri"/>
          <w:color w:val="2C2C2C"/>
          <w:sz w:val="22"/>
          <w:szCs w:val="22"/>
        </w:rPr>
        <w:t xml:space="preserve">The difference in merchandise and drink spend between groups is modest ($1 per category), indicating that the revenue gap is primarily driven by ticket tier selection — repeat visitors are more likely to book higher-value seats. This points to the value of loyalty-based seat upgrade incentives.</w:t>
      </w:r>
    </w:p>
    <w:p>
      <w:pPr>
        <w:spacing w:after="80" w:before="80"/>
      </w:pPr>
      <w:r>
        <w:t xml:space="preserve"/>
      </w:r>
    </w:p>
    <w:p>
      <w:pPr>
        <w:spacing w:after="100" w:before="60"/>
      </w:pPr>
      <w:r>
        <w:rPr>
          <w:rFonts w:ascii="Calibri" w:cs="Calibri" w:eastAsia="Calibri" w:hAnsi="Calibri"/>
          <w:color w:val="2C2C2C"/>
          <w:sz w:val="22"/>
          <w:szCs w:val="22"/>
        </w:rPr>
        <w:t xml:space="preserve">With only 30.2% of customers being repeat visitors, there is significant headroom to grow this segment. Even a 5% improvement in first-to-repeat conversion would generate approximately $1,250 in additional annual revenue at current spend levels.</w:t>
      </w:r>
    </w:p>
    <w:p>
      <w:r>
        <w:br w:type="page"/>
      </w:r>
    </w:p>
    <w:p>
      <w:pPr>
        <w:pBdr>
          <w:bottom w:val="single" w:color="378ADD" w:sz="6" w:space="4"/>
        </w:pBdr>
        <w:spacing w:after="120" w:before="280"/>
      </w:pPr>
      <w:r>
        <w:rPr>
          <w:rFonts w:ascii="Calibri" w:cs="Calibri" w:eastAsia="Calibri" w:hAnsi="Calibri"/>
          <w:b/>
          <w:bCs/>
          <w:color w:val="2E75B6"/>
          <w:sz w:val="28"/>
          <w:szCs w:val="28"/>
        </w:rPr>
        <w:t xml:space="preserve">4. How Do Satisfaction &amp; Recommendation Vary Across Segments?</w:t>
      </w:r>
    </w:p>
    <w:p>
      <w:pPr>
        <w:spacing w:after="80" w:before="80"/>
      </w:pPr>
      <w:r>
        <w:t xml:space="preserve"/>
      </w:r>
    </w:p>
    <w:p>
      <w:pPr>
        <w:spacing w:after="80" w:before="200"/>
      </w:pPr>
      <w:r>
        <w:rPr>
          <w:rFonts w:ascii="Calibri" w:cs="Calibri" w:eastAsia="Calibri" w:hAnsi="Calibri"/>
          <w:b/>
          <w:bCs/>
          <w:color w:val="333333"/>
          <w:sz w:val="24"/>
          <w:szCs w:val="24"/>
        </w:rPr>
        <w:t xml:space="preserve">4.1 By Age Group</w:t>
      </w:r>
    </w:p>
    <w:p>
      <w:pPr>
        <w:spacing w:after="100" w:before="60"/>
      </w:pPr>
      <w:r>
        <w:rPr>
          <w:rFonts w:ascii="Calibri" w:cs="Calibri" w:eastAsia="Calibri" w:hAnsi="Calibri"/>
          <w:color w:val="2C2C2C"/>
          <w:sz w:val="22"/>
          <w:szCs w:val="22"/>
        </w:rPr>
        <w:t xml:space="preserve">Satisfaction and recommendation likelihood are consistently high across all age groups (ranging from 7.77 to 8.15), indicating a broadly positive customer experience. However, clear differences exist: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 Group</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Satisfaction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18-25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7.77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26-35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8.15</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36-50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7.85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51-65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8.14</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65+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7.88</w:t>
            </w:r>
          </w:p>
        </w:tc>
      </w:tr>
    </w:tbl>
    <w:p>
      <w:pPr>
        <w:spacing w:after="80" w:before="80"/>
      </w:pPr>
      <w:r>
        <w:t xml:space="preserve"/>
      </w:r>
    </w:p>
    <w:p>
      <w:pPr>
        <w:spacing w:after="100" w:before="60"/>
      </w:pPr>
      <w:r>
        <w:rPr>
          <w:rFonts w:ascii="Calibri" w:cs="Calibri" w:eastAsia="Calibri" w:hAnsi="Calibri"/>
          <w:color w:val="2C2C2C"/>
          <w:sz w:val="22"/>
          <w:szCs w:val="22"/>
        </w:rPr>
        <w:t xml:space="preserve">The 26-35 and 51-65 groups show the highest satisfaction (~8.14-8.15), while the 36-50 and 51-65 groups lead recommendation likelihood (8.09). Younger visitors (18-25) have the lowest recommendation score (7.77), suggesting the experience may not fully resonate with this cohort despite reasonable satisfaction — possibly due to value-for-money perception or product-market fit.</w:t>
      </w:r>
    </w:p>
    <w:p>
      <w:pPr>
        <w:spacing w:after="80" w:before="80"/>
      </w:pPr>
      <w:r>
        <w:t xml:space="preserve"/>
      </w:r>
    </w:p>
    <w:p>
      <w:pPr>
        <w:spacing w:after="80" w:before="200"/>
      </w:pPr>
      <w:r>
        <w:rPr>
          <w:rFonts w:ascii="Calibri" w:cs="Calibri" w:eastAsia="Calibri" w:hAnsi="Calibri"/>
          <w:b/>
          <w:bCs/>
          <w:color w:val="333333"/>
          <w:sz w:val="24"/>
          <w:szCs w:val="24"/>
        </w:rPr>
        <w:t xml:space="preserve">4.2 By Seating Region</w:t>
      </w:r>
    </w:p>
    <w:p>
      <w:pPr>
        <w:spacing w:after="100" w:before="60"/>
      </w:pPr>
      <w:r>
        <w:rPr>
          <w:rFonts w:ascii="Calibri" w:cs="Calibri" w:eastAsia="Calibri" w:hAnsi="Calibri"/>
          <w:color w:val="2C2C2C"/>
          <w:sz w:val="22"/>
          <w:szCs w:val="22"/>
        </w:rPr>
        <w:t xml:space="preserve">Premium seating yields the highest satisfaction (8.08), while Economy is lowest (7.90). The gap between tiers on satisfaction is relatively narrow (0.18 points), but the recommendation gap is similarly modest, suggesting that even Economy customers leave with a positive intent to recommend.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Seating Region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Satisfaction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VIP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Premium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8.08</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High Economy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8.07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color w:val="2C2C2C"/>
                <w:sz w:val="20"/>
                <w:szCs w:val="20"/>
              </w:rPr>
              <w:t xml:space="preserve">Economy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7.90</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Calibri" w:cs="Calibri" w:eastAsia="Calibri" w:hAnsi="Calibri"/>
                <w:color w:val="2C2C2C"/>
                <w:sz w:val="20"/>
                <w:szCs w:val="20"/>
              </w:rPr>
              <w:t xml:space="preserve">7.92</w:t>
            </w:r>
          </w:p>
        </w:tc>
      </w:tr>
    </w:tbl>
    <w:p>
      <w:pPr>
        <w:spacing w:after="80" w:before="80"/>
      </w:pPr>
      <w:r>
        <w:t xml:space="preserve"/>
      </w:r>
    </w:p>
    <w:p>
      <w:pPr>
        <w:spacing w:after="100" w:before="60"/>
      </w:pPr>
      <w:r>
        <w:rPr>
          <w:rFonts w:ascii="Calibri" w:cs="Calibri" w:eastAsia="Calibri" w:hAnsi="Calibri"/>
          <w:color w:val="2C2C2C"/>
          <w:sz w:val="22"/>
          <w:szCs w:val="22"/>
        </w:rPr>
        <w:t xml:space="preserve">VIP's lower satisfaction score (7.94) relative to its price point warrants attention. If VIP customers do not feel their experience is distinctly better than Premium, they are unlikely to repeat at the same tier, risking downgrade or churn.</w:t>
      </w:r>
    </w:p>
    <w:p>
      <w:r>
        <w:br w:type="page"/>
      </w:r>
    </w:p>
    <w:p>
      <w:pPr>
        <w:pBdr>
          <w:bottom w:val="single" w:color="378ADD" w:sz="6" w:space="4"/>
        </w:pBdr>
        <w:spacing w:after="120" w:before="280"/>
      </w:pPr>
      <w:r>
        <w:rPr>
          <w:rFonts w:ascii="Calibri" w:cs="Calibri" w:eastAsia="Calibri" w:hAnsi="Calibri"/>
          <w:b/>
          <w:bCs/>
          <w:color w:val="2E75B6"/>
          <w:sz w:val="28"/>
          <w:szCs w:val="28"/>
        </w:rPr>
        <w:t xml:space="preserve">5. Insights &amp; Strategic Recommendations</w:t>
      </w:r>
    </w:p>
    <w:p>
      <w:pPr>
        <w:spacing w:after="80" w:before="80"/>
      </w:pPr>
      <w:r>
        <w:t xml:space="preserve"/>
      </w:r>
    </w:p>
    <w:p>
      <w:pPr>
        <w:spacing w:after="80" w:before="200"/>
      </w:pPr>
      <w:r>
        <w:rPr>
          <w:rFonts w:ascii="Calibri" w:cs="Calibri" w:eastAsia="Calibri" w:hAnsi="Calibri"/>
          <w:b/>
          <w:bCs/>
          <w:color w:val="333333"/>
          <w:sz w:val="24"/>
          <w:szCs w:val="24"/>
        </w:rPr>
        <w:t xml:space="preserve">5.1 Revenue Growth</w:t>
      </w:r>
    </w:p>
    <w:p>
      <w:pPr>
        <w:pStyle w:val="ListParagraph"/>
        <w:numPr>
          <w:ilvl w:val="0"/>
          <w:numId w:val="2"/>
        </w:numPr>
        <w:spacing w:after="40" w:before="40"/>
      </w:pPr>
      <w:r>
        <w:rPr>
          <w:rFonts w:ascii="Calibri" w:cs="Calibri" w:eastAsia="Calibri" w:hAnsi="Calibri"/>
          <w:color w:val="2C2C2C"/>
          <w:sz w:val="22"/>
          <w:szCs w:val="22"/>
        </w:rPr>
        <w:t xml:space="preserve">Prioritise the 36-50 and 51-65 segments with targeted campaigns, early access, and loyalty rewards — they represent 59.8% of all revenue.</w:t>
      </w:r>
    </w:p>
    <w:p>
      <w:pPr>
        <w:pStyle w:val="ListParagraph"/>
        <w:numPr>
          <w:ilvl w:val="0"/>
          <w:numId w:val="2"/>
        </w:numPr>
        <w:spacing w:after="40" w:before="40"/>
      </w:pPr>
      <w:r>
        <w:rPr>
          <w:rFonts w:ascii="Calibri" w:cs="Calibri" w:eastAsia="Calibri" w:hAnsi="Calibri"/>
          <w:color w:val="2C2C2C"/>
          <w:sz w:val="22"/>
          <w:szCs w:val="22"/>
        </w:rPr>
        <w:t xml:space="preserve">Develop upsell pathways from Economy and High Economy to Premium, particularly for the 30.2% of repeat visitors who demonstrate higher willingness to spend.</w:t>
      </w:r>
    </w:p>
    <w:p>
      <w:pPr>
        <w:pStyle w:val="ListParagraph"/>
        <w:numPr>
          <w:ilvl w:val="0"/>
          <w:numId w:val="2"/>
        </w:numPr>
        <w:spacing w:after="40" w:before="40"/>
      </w:pPr>
      <w:r>
        <w:rPr>
          <w:rFonts w:ascii="Calibri" w:cs="Calibri" w:eastAsia="Calibri" w:hAnsi="Calibri"/>
          <w:color w:val="2C2C2C"/>
          <w:sz w:val="22"/>
          <w:szCs w:val="22"/>
        </w:rPr>
        <w:t xml:space="preserve">Invest in converting first-time visitors to repeats. A 5-point improvement in repeat rate adds ~$1,250 in revenue at current averages.</w:t>
      </w:r>
    </w:p>
    <w:p>
      <w:pPr>
        <w:pStyle w:val="ListParagraph"/>
        <w:numPr>
          <w:ilvl w:val="0"/>
          <w:numId w:val="2"/>
        </w:numPr>
        <w:spacing w:after="40" w:before="40"/>
      </w:pPr>
      <w:r>
        <w:rPr>
          <w:rFonts w:ascii="Calibri" w:cs="Calibri" w:eastAsia="Calibri" w:hAnsi="Calibri"/>
          <w:color w:val="2C2C2C"/>
          <w:sz w:val="22"/>
          <w:szCs w:val="22"/>
        </w:rPr>
        <w:t xml:space="preserve">Grow the 65+ segment through accessibility initiatives and senior pricing incentives — currently only 8.4% of visitors but with strong potential loyalty characteristics.</w:t>
      </w:r>
    </w:p>
    <w:p>
      <w:pPr>
        <w:spacing w:after="80" w:before="80"/>
      </w:pPr>
      <w:r>
        <w:t xml:space="preserve"/>
      </w:r>
    </w:p>
    <w:p>
      <w:pPr>
        <w:spacing w:after="80" w:before="200"/>
      </w:pPr>
      <w:r>
        <w:rPr>
          <w:rFonts w:ascii="Calibri" w:cs="Calibri" w:eastAsia="Calibri" w:hAnsi="Calibri"/>
          <w:b/>
          <w:bCs/>
          <w:color w:val="333333"/>
          <w:sz w:val="24"/>
          <w:szCs w:val="24"/>
        </w:rPr>
        <w:t xml:space="preserve">5.2 Seating &amp; Pricing Strategy</w:t>
      </w:r>
    </w:p>
    <w:p>
      <w:pPr>
        <w:pStyle w:val="ListParagraph"/>
        <w:numPr>
          <w:ilvl w:val="0"/>
          <w:numId w:val="2"/>
        </w:numPr>
        <w:spacing w:after="40" w:before="40"/>
      </w:pPr>
      <w:r>
        <w:rPr>
          <w:rFonts w:ascii="Calibri" w:cs="Calibri" w:eastAsia="Calibri" w:hAnsi="Calibri"/>
          <w:color w:val="2C2C2C"/>
          <w:sz w:val="22"/>
          <w:szCs w:val="22"/>
        </w:rPr>
        <w:t xml:space="preserve">Elevate the VIP experience to justify the $88 premium over Premium. Lower VIP satisfaction (7.94 vs 8.08) risks long-term erosion of this high-value tier.</w:t>
      </w:r>
    </w:p>
    <w:p>
      <w:pPr>
        <w:pStyle w:val="ListParagraph"/>
        <w:numPr>
          <w:ilvl w:val="0"/>
          <w:numId w:val="2"/>
        </w:numPr>
        <w:spacing w:after="40" w:before="40"/>
      </w:pPr>
      <w:r>
        <w:rPr>
          <w:rFonts w:ascii="Calibri" w:cs="Calibri" w:eastAsia="Calibri" w:hAnsi="Calibri"/>
          <w:color w:val="2C2C2C"/>
          <w:sz w:val="22"/>
          <w:szCs w:val="22"/>
        </w:rPr>
        <w:t xml:space="preserve">Use High Economy as a stepping stone to Premium. Its strong satisfaction and recommendation scores (8.06/8.07) signal customers who are likely open to upgrading.</w:t>
      </w:r>
    </w:p>
    <w:p>
      <w:pPr>
        <w:pStyle w:val="ListParagraph"/>
        <w:numPr>
          <w:ilvl w:val="0"/>
          <w:numId w:val="2"/>
        </w:numPr>
        <w:spacing w:after="40" w:before="40"/>
      </w:pPr>
      <w:r>
        <w:rPr>
          <w:rFonts w:ascii="Calibri" w:cs="Calibri" w:eastAsia="Calibri" w:hAnsi="Calibri"/>
          <w:color w:val="2C2C2C"/>
          <w:sz w:val="22"/>
          <w:szCs w:val="22"/>
        </w:rPr>
        <w:t xml:space="preserve">Economy customers show strong recommendation intent (7.92). A referral programme from this segment could cost-effectively drive new visitor acquisition.</w:t>
      </w:r>
    </w:p>
    <w:p>
      <w:pPr>
        <w:spacing w:after="80" w:before="80"/>
      </w:pPr>
      <w:r>
        <w:t xml:space="preserve"/>
      </w:r>
    </w:p>
    <w:p>
      <w:pPr>
        <w:spacing w:after="80" w:before="200"/>
      </w:pPr>
      <w:r>
        <w:rPr>
          <w:rFonts w:ascii="Calibri" w:cs="Calibri" w:eastAsia="Calibri" w:hAnsi="Calibri"/>
          <w:b/>
          <w:bCs/>
          <w:color w:val="333333"/>
          <w:sz w:val="24"/>
          <w:szCs w:val="24"/>
        </w:rPr>
        <w:t xml:space="preserve">5.3 Customer Experience</w:t>
      </w:r>
    </w:p>
    <w:p>
      <w:pPr>
        <w:pStyle w:val="ListParagraph"/>
        <w:numPr>
          <w:ilvl w:val="0"/>
          <w:numId w:val="2"/>
        </w:numPr>
        <w:spacing w:after="40" w:before="40"/>
      </w:pPr>
      <w:r>
        <w:rPr>
          <w:rFonts w:ascii="Calibri" w:cs="Calibri" w:eastAsia="Calibri" w:hAnsi="Calibri"/>
          <w:color w:val="2C2C2C"/>
          <w:sz w:val="22"/>
          <w:szCs w:val="22"/>
        </w:rPr>
        <w:t xml:space="preserve">Investigate why 18-25 visitors have the lowest recommendation score (7.77 vs 8.09 for older groups). Exit surveys, social media listening, or focus groups with this cohort would help identify friction points.</w:t>
      </w:r>
    </w:p>
    <w:p>
      <w:pPr>
        <w:pStyle w:val="ListParagraph"/>
        <w:numPr>
          <w:ilvl w:val="0"/>
          <w:numId w:val="2"/>
        </w:numPr>
        <w:spacing w:after="40" w:before="40"/>
      </w:pPr>
      <w:r>
        <w:rPr>
          <w:rFonts w:ascii="Calibri" w:cs="Calibri" w:eastAsia="Calibri" w:hAnsi="Calibri"/>
          <w:color w:val="2C2C2C"/>
          <w:sz w:val="22"/>
          <w:szCs w:val="22"/>
        </w:rPr>
        <w:t xml:space="preserve">Repeat visitors rate satisfaction marginally higher (8.05 vs 7.97). Understand what drives return visits and embed those drivers into the first-time visitor journey.</w:t>
      </w:r>
    </w:p>
    <w:p>
      <w:pPr>
        <w:pStyle w:val="ListParagraph"/>
        <w:numPr>
          <w:ilvl w:val="0"/>
          <w:numId w:val="2"/>
        </w:numPr>
        <w:spacing w:after="40" w:before="40"/>
      </w:pPr>
      <w:r>
        <w:rPr>
          <w:rFonts w:ascii="Calibri" w:cs="Calibri" w:eastAsia="Calibri" w:hAnsi="Calibri"/>
          <w:color w:val="2C2C2C"/>
          <w:sz w:val="22"/>
          <w:szCs w:val="22"/>
        </w:rPr>
        <w:t xml:space="preserve">All satisfaction and recommendation scores cluster around 8.0, which is strong but leaves clear headroom. A structured Voice of Customer programme could identify quick wins to push scores above 8.5.</w:t>
      </w:r>
    </w:p>
    <w:p>
      <w:pPr>
        <w:spacing w:after="80" w:before="80"/>
      </w:pPr>
      <w:r>
        <w:t xml:space="preserve"/>
      </w:r>
    </w:p>
    <w:p>
      <w:pPr>
        <w:spacing w:after="80" w:before="200"/>
      </w:pPr>
      <w:r>
        <w:rPr>
          <w:rFonts w:ascii="Calibri" w:cs="Calibri" w:eastAsia="Calibri" w:hAnsi="Calibri"/>
          <w:b/>
          <w:bCs/>
          <w:color w:val="333333"/>
          <w:sz w:val="24"/>
          <w:szCs w:val="24"/>
        </w:rPr>
        <w:t xml:space="preserve">5.4 Geographic Opportunities</w:t>
      </w:r>
    </w:p>
    <w:p>
      <w:pPr>
        <w:pStyle w:val="ListParagraph"/>
        <w:numPr>
          <w:ilvl w:val="0"/>
          <w:numId w:val="2"/>
        </w:numPr>
        <w:spacing w:after="40" w:before="40"/>
      </w:pPr>
      <w:r>
        <w:rPr>
          <w:rFonts w:ascii="Calibri" w:cs="Calibri" w:eastAsia="Calibri" w:hAnsi="Calibri"/>
          <w:color w:val="2C2C2C"/>
          <w:sz w:val="22"/>
          <w:szCs w:val="22"/>
        </w:rPr>
        <w:t xml:space="preserve">USA, Sweden, and France are the top three markets by revenue — ensure these regions receive primary marketing investment.</w:t>
      </w:r>
    </w:p>
    <w:p>
      <w:pPr>
        <w:pStyle w:val="ListParagraph"/>
        <w:numPr>
          <w:ilvl w:val="0"/>
          <w:numId w:val="2"/>
        </w:numPr>
        <w:spacing w:after="40" w:before="40"/>
      </w:pPr>
      <w:r>
        <w:rPr>
          <w:rFonts w:ascii="Calibri" w:cs="Calibri" w:eastAsia="Calibri" w:hAnsi="Calibri"/>
          <w:color w:val="2C2C2C"/>
          <w:sz w:val="22"/>
          <w:szCs w:val="22"/>
        </w:rPr>
        <w:t xml:space="preserve">Germany and UK underperform relative to visitor count. Review pricing, channel mix, or experience tailoring for these markets.</w:t>
      </w:r>
    </w:p>
    <w:p>
      <w:pPr>
        <w:spacing w:after="80" w:before="80"/>
      </w:pPr>
      <w:r>
        <w:t xml:space="preserve"/>
      </w:r>
    </w:p>
    <w:p>
      <w:pPr>
        <w:pBdr>
          <w:top w:val="single" w:color="378ADD" w:sz="6" w:space="4"/>
        </w:pBdr>
        <w:spacing w:after="80" w:before="200"/>
      </w:pPr>
      <w:r>
        <w:t xml:space="preserve"/>
      </w:r>
    </w:p>
    <w:p>
      <w:pPr>
        <w:spacing w:after="100" w:before="60"/>
      </w:pPr>
      <w:r>
        <w:rPr>
          <w:rFonts w:ascii="Calibri" w:cs="Calibri" w:eastAsia="Calibri" w:hAnsi="Calibri"/>
          <w:color w:val="888888"/>
          <w:sz w:val="18"/>
          <w:szCs w:val="18"/>
        </w:rPr>
        <w:t xml:space="preserve">This report was generated from a dataset of 800 customer records. All figures are based on available data and should be interpreted in the context of the full business environment. For follow-up analysis or drill-downs by specific segment, additional data cuts can be prepared 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2026-05-10T06:56:17.703Z</dcterms:created>
  <dcterms:modified xsi:type="dcterms:W3CDTF">2026-05-10T06:56:17.703Z</dcterms:modified>
</cp:coreProperties>
</file>

<file path=docProps/custom.xml><?xml version="1.0" encoding="utf-8"?>
<Properties xmlns="http://schemas.openxmlformats.org/officeDocument/2006/custom-properties" xmlns:vt="http://schemas.openxmlformats.org/officeDocument/2006/docPropsVTypes"/>
</file>