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15, 2026</w:t>
            </w:r>
          </w:p>
        </w:tc>
      </w:tr>
      <w:tr>
        <w:tc>
          <w:tcPr>
            <w:tcW w:type="dxa" w:w="4320"/>
            <w:shd w:val="clear" w:color="auto" w:fill="F5F7FA"/>
          </w:tcPr>
          <w:p>
            <w:r>
              <w:rPr>
                <w:b/>
                <w:sz w:val="22"/>
              </w:rPr>
              <w:t>Readiness Assessment:</w:t>
            </w:r>
          </w:p>
        </w:tc>
        <w:tc>
          <w:tcPr>
            <w:tcW w:type="dxa" w:w="4320"/>
          </w:tcPr>
          <w:p>
            <w:r>
              <w:rPr>
                <w:b w:val="0"/>
                <w:sz w:val="22"/>
              </w:rPr>
              <w:t>Grade A — 86.6/100</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20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20</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20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flags supplied in this CDE's own pipeline submission, the pipeline places 15% of QEI in tracts declared as persistent-poverty counties and 3% in tracts declared High Migration Rural.</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20</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Deep/Severely Distressed Tracts</w:t>
            </w:r>
          </w:p>
        </w:tc>
        <w:tc>
          <w:tcPr>
            <w:tcW w:type="dxa" w:w="4320"/>
            <w:shd w:val="clear" w:color="auto" w:fill="EBF0FA"/>
          </w:tcPr>
          <w:p>
            <w:r>
              <w:rPr>
                <w:sz w:val="20"/>
              </w:rPr>
              <w:t>86.7%</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CDFI Fund Higher-Distress Commitment (CY 2024-2025)</w:t>
            </w:r>
          </w:p>
        </w:tc>
        <w:tc>
          <w:tcPr>
            <w:tcW w:type="dxa" w:w="4320"/>
            <w:shd w:val="clear" w:color="auto" w:fill="EBF0FA"/>
          </w:tcPr>
          <w:p>
            <w:r>
              <w:rPr>
                <w:sz w:val="20"/>
              </w:rPr>
              <w:t>85% of QLICIs in areas of severe distress and/or multiple indicia of distress, and 20% in Deep Distress areas (CY 2024-2025 NMTC Program Review Process, Targeting Areas of Higher Distress, Question 25; the CY 2026 NOAA is not yet published)</w:t>
            </w:r>
          </w:p>
        </w:tc>
      </w:tr>
      <w:tr>
        <w:tc>
          <w:tcPr>
            <w:tcW w:type="dxa" w:w="4320"/>
            <w:shd w:val="clear" w:color="auto" w:fill="FFFFFF"/>
          </w:tcPr>
          <w:p>
            <w:r>
              <w:rPr>
                <w:sz w:val="20"/>
              </w:rPr>
              <w:t>Riverbend Community Capital CDE, LLC Commitment (Deep/Severe)</w:t>
            </w:r>
          </w:p>
        </w:tc>
        <w:tc>
          <w:tcPr>
            <w:tcW w:type="dxa" w:w="4320"/>
            <w:shd w:val="clear" w:color="auto" w:fill="FFFFFF"/>
          </w:tcPr>
          <w:p>
            <w:r>
              <w:rPr>
                <w:sz w:val="20"/>
              </w:rPr>
              <w:t>86.7%</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Net Subsidy to QALICBs ($)</w:t>
            </w:r>
          </w:p>
        </w:tc>
        <w:tc>
          <w:tcPr>
            <w:tcW w:type="dxa" w:w="4320"/>
            <w:shd w:val="clear" w:color="auto" w:fill="EBF0FA"/>
          </w:tcPr>
          <w:p>
            <w:r>
              <w:rPr>
                <w:sz w:val="20"/>
              </w:rPr>
              <w:t>$119,437,500</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20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Net subsidy to QALICBs: $119.4MM</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sectors financed, and outcomes achieved.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Deep Distress</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KS</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KS</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37119001900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KS</w:t>
            </w:r>
          </w:p>
        </w:tc>
        <w:tc>
          <w:tcPr>
            <w:tcW w:type="dxa" w:w="912"/>
            <w:shd w:val="clear" w:color="auto" w:fill="FFFFFF"/>
          </w:tcPr>
          <w:p>
            <w:r>
              <w:rPr>
                <w:sz w:val="16"/>
              </w:rPr>
              <w:t>20091000100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KS</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LA</w:t>
            </w:r>
          </w:p>
        </w:tc>
        <w:tc>
          <w:tcPr>
            <w:tcW w:type="dxa" w:w="1080"/>
            <w:shd w:val="clear" w:color="auto" w:fill="FFFFFF"/>
          </w:tcPr>
          <w:p>
            <w:r>
              <w:rPr>
                <w:sz w:val="20"/>
              </w:rPr>
              <w:t>1</w:t>
            </w:r>
          </w:p>
        </w:tc>
        <w:tc>
          <w:tcPr>
            <w:tcW w:type="dxa" w:w="1080"/>
            <w:shd w:val="clear" w:color="auto" w:fill="FFFFFF"/>
          </w:tcPr>
          <w:p>
            <w:r>
              <w:rPr>
                <w:sz w:val="20"/>
              </w:rPr>
              <w:t>$6,000,000</w:t>
            </w:r>
          </w:p>
        </w:tc>
        <w:tc>
          <w:tcPr>
            <w:tcW w:type="dxa" w:w="1080"/>
            <w:shd w:val="clear" w:color="auto" w:fill="FFFFFF"/>
          </w:tcPr>
          <w:p>
            <w:r>
              <w:rPr>
                <w:sz w:val="20"/>
              </w:rPr>
              <w:t>4.9%</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MD</w:t>
            </w:r>
          </w:p>
        </w:tc>
        <w:tc>
          <w:tcPr>
            <w:tcW w:type="dxa" w:w="1080"/>
            <w:shd w:val="clear" w:color="auto" w:fill="EBF0FA"/>
          </w:tcPr>
          <w:p>
            <w:r>
              <w:rPr>
                <w:sz w:val="20"/>
              </w:rPr>
              <w:t>1</w:t>
            </w:r>
          </w:p>
        </w:tc>
        <w:tc>
          <w:tcPr>
            <w:tcW w:type="dxa" w:w="1080"/>
            <w:shd w:val="clear" w:color="auto" w:fill="EBF0FA"/>
          </w:tcPr>
          <w:p>
            <w:r>
              <w:rPr>
                <w:sz w:val="20"/>
              </w:rPr>
              <w:t>$4,200,000</w:t>
            </w:r>
          </w:p>
        </w:tc>
        <w:tc>
          <w:tcPr>
            <w:tcW w:type="dxa" w:w="1080"/>
            <w:shd w:val="clear" w:color="auto" w:fill="EBF0FA"/>
          </w:tcPr>
          <w:p>
            <w:r>
              <w:rPr>
                <w:sz w:val="20"/>
              </w:rPr>
              <w:t>3.4%</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MI</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MO</w:t>
            </w:r>
          </w:p>
        </w:tc>
        <w:tc>
          <w:tcPr>
            <w:tcW w:type="dxa" w:w="1080"/>
            <w:shd w:val="clear" w:color="auto" w:fill="EBF0FA"/>
          </w:tcPr>
          <w:p>
            <w:r>
              <w:rPr>
                <w:sz w:val="20"/>
              </w:rPr>
              <w:t>1</w:t>
            </w:r>
          </w:p>
        </w:tc>
        <w:tc>
          <w:tcPr>
            <w:tcW w:type="dxa" w:w="1080"/>
            <w:shd w:val="clear" w:color="auto" w:fill="EBF0FA"/>
          </w:tcPr>
          <w:p>
            <w:r>
              <w:rPr>
                <w:sz w:val="20"/>
              </w:rPr>
              <w:t>$3,800,000</w:t>
            </w:r>
          </w:p>
        </w:tc>
        <w:tc>
          <w:tcPr>
            <w:tcW w:type="dxa" w:w="1080"/>
            <w:shd w:val="clear" w:color="auto" w:fill="EBF0FA"/>
          </w:tcPr>
          <w:p>
            <w:r>
              <w:rPr>
                <w:sz w:val="20"/>
              </w:rPr>
              <w:t>3.1%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MS</w:t>
            </w:r>
          </w:p>
        </w:tc>
        <w:tc>
          <w:tcPr>
            <w:tcW w:type="dxa" w:w="1080"/>
            <w:shd w:val="clear" w:color="auto" w:fill="FFFFFF"/>
          </w:tcPr>
          <w:p>
            <w:r>
              <w:rPr>
                <w:sz w:val="20"/>
              </w:rPr>
              <w:t>1</w:t>
            </w:r>
          </w:p>
        </w:tc>
        <w:tc>
          <w:tcPr>
            <w:tcW w:type="dxa" w:w="1080"/>
            <w:shd w:val="clear" w:color="auto" w:fill="FFFFFF"/>
          </w:tcPr>
          <w:p>
            <w:r>
              <w:rPr>
                <w:sz w:val="20"/>
              </w:rPr>
              <w:t>$3,200,000</w:t>
            </w:r>
          </w:p>
        </w:tc>
        <w:tc>
          <w:tcPr>
            <w:tcW w:type="dxa" w:w="1080"/>
            <w:shd w:val="clear" w:color="auto" w:fill="FFFFFF"/>
          </w:tcPr>
          <w:p>
            <w:r>
              <w:rPr>
                <w:sz w:val="20"/>
              </w:rPr>
              <w:t>2.6%</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1</w:t>
            </w:r>
          </w:p>
        </w:tc>
        <w:tc>
          <w:tcPr>
            <w:tcW w:type="dxa" w:w="1080"/>
            <w:shd w:val="clear" w:color="auto" w:fill="FFFFFF"/>
          </w:tcPr>
          <w:p>
            <w:r>
              <w:rPr>
                <w:sz w:val="20"/>
              </w:rPr>
              <w:t>0</w:t>
            </w:r>
          </w:p>
        </w:tc>
      </w:tr>
      <w:tr>
        <w:tc>
          <w:tcPr>
            <w:tcW w:type="dxa" w:w="1080"/>
            <w:shd w:val="clear" w:color="auto" w:fill="EBF0FA"/>
          </w:tcPr>
          <w:p>
            <w:r>
              <w:rPr>
                <w:sz w:val="20"/>
              </w:rPr>
              <w:t>NC</w:t>
            </w:r>
          </w:p>
        </w:tc>
        <w:tc>
          <w:tcPr>
            <w:tcW w:type="dxa" w:w="1080"/>
            <w:shd w:val="clear" w:color="auto" w:fill="EBF0FA"/>
          </w:tcPr>
          <w:p>
            <w:r>
              <w:rPr>
                <w:sz w:val="20"/>
              </w:rPr>
              <w:t>1</w:t>
            </w:r>
          </w:p>
        </w:tc>
        <w:tc>
          <w:tcPr>
            <w:tcW w:type="dxa" w:w="1080"/>
            <w:shd w:val="clear" w:color="auto" w:fill="EBF0FA"/>
          </w:tcPr>
          <w:p>
            <w:r>
              <w:rPr>
                <w:sz w:val="20"/>
              </w:rPr>
              <w:t>$5,500,000</w:t>
            </w:r>
          </w:p>
        </w:tc>
        <w:tc>
          <w:tcPr>
            <w:tcW w:type="dxa" w:w="1080"/>
            <w:shd w:val="clear" w:color="auto" w:fill="EBF0FA"/>
          </w:tcPr>
          <w:p>
            <w:r>
              <w:rPr>
                <w:sz w:val="20"/>
              </w:rPr>
              <w:t>4.5%</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NM</w:t>
            </w:r>
          </w:p>
        </w:tc>
        <w:tc>
          <w:tcPr>
            <w:tcW w:type="dxa" w:w="1080"/>
            <w:shd w:val="clear" w:color="auto" w:fill="FFFFFF"/>
          </w:tcPr>
          <w:p>
            <w:r>
              <w:rPr>
                <w:sz w:val="20"/>
              </w:rPr>
              <w:t>1</w:t>
            </w:r>
          </w:p>
        </w:tc>
        <w:tc>
          <w:tcPr>
            <w:tcW w:type="dxa" w:w="1080"/>
            <w:shd w:val="clear" w:color="auto" w:fill="FFFFFF"/>
          </w:tcPr>
          <w:p>
            <w:r>
              <w:rPr>
                <w:sz w:val="20"/>
              </w:rPr>
              <w:t>$5,800,000</w:t>
            </w:r>
          </w:p>
        </w:tc>
        <w:tc>
          <w:tcPr>
            <w:tcW w:type="dxa" w:w="1080"/>
            <w:shd w:val="clear" w:color="auto" w:fill="FFFFFF"/>
          </w:tcPr>
          <w:p>
            <w:r>
              <w:rPr>
                <w:sz w:val="20"/>
              </w:rPr>
              <w:t>4.7%</w:t>
            </w:r>
          </w:p>
        </w:tc>
        <w:tc>
          <w:tcPr>
            <w:tcW w:type="dxa" w:w="1080"/>
            <w:shd w:val="clear" w:color="auto" w:fill="FFFFFF"/>
          </w:tcPr>
          <w:p>
            <w:r>
              <w:rPr>
                <w:sz w:val="20"/>
              </w:rPr>
              <w:t>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NY</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OH</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PA</w:t>
            </w:r>
          </w:p>
        </w:tc>
        <w:tc>
          <w:tcPr>
            <w:tcW w:type="dxa" w:w="1080"/>
            <w:shd w:val="clear" w:color="auto" w:fill="EBF0FA"/>
          </w:tcPr>
          <w:p>
            <w:r>
              <w:rPr>
                <w:sz w:val="20"/>
              </w:rPr>
              <w:t>1</w:t>
            </w:r>
          </w:p>
        </w:tc>
        <w:tc>
          <w:tcPr>
            <w:tcW w:type="dxa" w:w="1080"/>
            <w:shd w:val="clear" w:color="auto" w:fill="EBF0FA"/>
          </w:tcPr>
          <w:p>
            <w:r>
              <w:rPr>
                <w:sz w:val="20"/>
              </w:rPr>
              <w:t>$8,000,000</w:t>
            </w:r>
          </w:p>
        </w:tc>
        <w:tc>
          <w:tcPr>
            <w:tcW w:type="dxa" w:w="1080"/>
            <w:shd w:val="clear" w:color="auto" w:fill="EBF0FA"/>
          </w:tcPr>
          <w:p>
            <w:r>
              <w:rPr>
                <w:sz w:val="20"/>
              </w:rPr>
              <w:t>6.5%</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TN</w:t>
            </w:r>
          </w:p>
        </w:tc>
        <w:tc>
          <w:tcPr>
            <w:tcW w:type="dxa" w:w="1080"/>
            <w:shd w:val="clear" w:color="auto" w:fill="FFFFFF"/>
          </w:tcPr>
          <w:p>
            <w:r>
              <w:rPr>
                <w:sz w:val="20"/>
              </w:rPr>
              <w:t>1</w:t>
            </w:r>
          </w:p>
        </w:tc>
        <w:tc>
          <w:tcPr>
            <w:tcW w:type="dxa" w:w="1080"/>
            <w:shd w:val="clear" w:color="auto" w:fill="FFFFFF"/>
          </w:tcPr>
          <w:p>
            <w:r>
              <w:rPr>
                <w:sz w:val="20"/>
              </w:rPr>
              <w:t>$3,500,000</w:t>
            </w:r>
          </w:p>
        </w:tc>
        <w:tc>
          <w:tcPr>
            <w:tcW w:type="dxa" w:w="1080"/>
            <w:shd w:val="clear" w:color="auto" w:fill="FFFFFF"/>
          </w:tcPr>
          <w:p>
            <w:r>
              <w:rPr>
                <w:sz w:val="20"/>
              </w:rPr>
              <w:t>2.9%</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TX</w:t>
            </w:r>
          </w:p>
        </w:tc>
        <w:tc>
          <w:tcPr>
            <w:tcW w:type="dxa" w:w="1080"/>
            <w:shd w:val="clear" w:color="auto" w:fill="EBF0FA"/>
          </w:tcPr>
          <w:p>
            <w:r>
              <w:rPr>
                <w:sz w:val="20"/>
              </w:rPr>
              <w:t>1</w:t>
            </w:r>
          </w:p>
        </w:tc>
        <w:tc>
          <w:tcPr>
            <w:tcW w:type="dxa" w:w="1080"/>
            <w:shd w:val="clear" w:color="auto" w:fill="EBF0FA"/>
          </w:tcPr>
          <w:p>
            <w:r>
              <w:rPr>
                <w:sz w:val="20"/>
              </w:rPr>
              <w:t>$7,000,000</w:t>
            </w:r>
          </w:p>
        </w:tc>
        <w:tc>
          <w:tcPr>
            <w:tcW w:type="dxa" w:w="1080"/>
            <w:shd w:val="clear" w:color="auto" w:fill="EBF0FA"/>
          </w:tcPr>
          <w:p>
            <w:r>
              <w:rPr>
                <w:sz w:val="20"/>
              </w:rPr>
              <w:t>5.7%</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WI</w:t>
            </w:r>
          </w:p>
        </w:tc>
        <w:tc>
          <w:tcPr>
            <w:tcW w:type="dxa" w:w="1080"/>
            <w:shd w:val="clear" w:color="auto" w:fill="FFFFFF"/>
          </w:tcPr>
          <w:p>
            <w:r>
              <w:rPr>
                <w:sz w:val="20"/>
              </w:rPr>
              <w:t>1</w:t>
            </w:r>
          </w:p>
        </w:tc>
        <w:tc>
          <w:tcPr>
            <w:tcW w:type="dxa" w:w="1080"/>
            <w:shd w:val="clear" w:color="auto" w:fill="FFFFFF"/>
          </w:tcPr>
          <w:p>
            <w:r>
              <w:rPr>
                <w:sz w:val="20"/>
              </w:rPr>
              <w:t>$9,500,000</w:t>
            </w:r>
          </w:p>
        </w:tc>
        <w:tc>
          <w:tcPr>
            <w:tcW w:type="dxa" w:w="1080"/>
            <w:shd w:val="clear" w:color="auto" w:fill="FFFFFF"/>
          </w:tcPr>
          <w:p>
            <w:r>
              <w:rPr>
                <w:sz w:val="20"/>
              </w:rPr>
              <w:t>7.8%</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Deep Distress</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KS</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v1.2.0 on 2026-08-15.</w:t>
        <w:br/>
        <w:br/>
        <w:t>ELIGIBILITY: CDFI Fund NMTC Eligibility Table using 2016–2020 ACS 5-Year Estimates. Tract eligibility determined by Low Income Community (LIC) criteria per IRC §45D.</w:t>
        <w:br/>
        <w:br/>
        <w:t>DISTRESS LEVELS (verbatim from the CDFI Fund NMTC LIC Eligibility workbook, 2016-2020 ACS, columns 14 and 15 — the file this tool loads to classify every tract): Severe distress = LIC AND (Poverty&gt;30%; MFI&lt;=60%; Unemployment&gt;=1.5). Deep distress = LIC AND (Poverty&gt;40%; MFI&lt;=40%; Unemployment&gt;=2.5). The semicolons are ORs; both tiers additionally require the tract to be a Low-Income Community. NMTC rounds are announced by a NOAA — Notice of Allocation Availability — and the CY 2026 NOAA is not yet published.</w:t>
        <w:br/>
        <w:br/>
        <w:t>DEAL ECONOMICS: Computed using nmtc-calc library. Standard leveraged NMTC structure with credit price $0.83/credit, CDE fee 2.5% of QEI, 7-year compliance period.</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