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Decision Log</w:t>
      </w:r>
    </w:p>
    <w:p/>
    <w:p>
      <w:pPr>
        <w:spacing w:after="150"/>
      </w:pPr>
      <w:r>
        <w:t xml:space="preserve">All significant backend technical decisions are recorded here.</w:t>
      </w:r>
    </w:p>
    <w:p>
      <w:pPr>
        <w:spacing w:after="150"/>
      </w:pPr>
      <w:r>
        <w:t xml:space="preserve">Format: decision made, options considered, reasoning, and what might change later.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DL-001 — Language: TypeScript over plain JavaScript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Use TypeScript throughout</w:t>
      </w:r>
    </w:p>
    <w:p/>
    <w:p>
      <w:pPr>
        <w:spacing w:after="150"/>
      </w:pPr>
      <w:r>
        <w:t xml:space="preserve">**Options considered:**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Plain JavaScript — faster to start, no compilation step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TypeScript — type safety, better IDE support, catches bugs at compile time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ValidDs is a large project with multiple contributors expected over the contract period. TypeScript pays for itself quickly on a codebase this size through autocomplete, interface contracts between layers, and catching shape mismatches between ingestion transformers and DB schemas.</w:t>
      </w:r>
    </w:p>
    <w:p/>
    <w:p>
      <w:pPr>
        <w:spacing w:after="150"/>
      </w:pPr>
      <w:r>
        <w:t xml:space="preserve">**What might change:** Nothing. TypeScript stays.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DL-002 — Framework: Express over Fastify / NestJS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Express</w:t>
      </w:r>
    </w:p>
    <w:p/>
    <w:p>
      <w:pPr>
        <w:spacing w:after="150"/>
      </w:pPr>
      <w:r>
        <w:t xml:space="preserve">**Options considered:**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Fastify — faster, built-in schema validation, TypeScript-first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NestJS — opinionated, lots of structure out of the box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Express — minimal, widely known, maximum flexibility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NestJS would add significant boilerplate and learning curve for a V1 build. Fastify is excellent but less universally familiar. Express is understood by any Node.js engineer who joins — no onboarding friction. Performance difference is irrelevant at V1 scale.</w:t>
      </w:r>
    </w:p>
    <w:p/>
    <w:p>
      <w:pPr>
        <w:spacing w:after="150"/>
      </w:pPr>
      <w:r>
        <w:t xml:space="preserve">**What might change:** Could migrate to Fastify if raw throughput becomes a bottleneck. Not expected for V1.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DL-003 — Database: MongoDB over PostgreSQL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MongoDB (via Mongoose + Atlas)</w:t>
      </w:r>
    </w:p>
    <w:p/>
    <w:p>
      <w:pPr>
        <w:spacing w:after="150"/>
      </w:pPr>
      <w:r>
        <w:t xml:space="preserve">**Options considered:**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PostgreSQL (Supabase or Neon free tier) — relational, strict schema, excellent querying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MongoDB (Atlas M0) — document model, flexible schema, free tier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TikTok product data is schema-heavy in some areas and sparse in others. Products have varying field availability depending on the data source. A document model handles this without constant migrations. Atlas M0 provides a generous free tier. The product feed + detail query patterns map cleanly to MongoDB.</w:t>
      </w:r>
    </w:p>
    <w:p/>
    <w:p>
      <w:pPr>
        <w:spacing w:after="150"/>
      </w:pPr>
      <w:r>
        <w:t xml:space="preserve">**What might change:** If complex relational queries become necessary (e.g. multi-table joins for supplier–product relationships), a hybrid approach (MongoDB + Redis for cache + optional Postgres for specific analytics tables) might be considered.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DL-004 — Redis provider: Managed Redis over self-hosted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Managed Redis (e.g. Render Managed Redis)</w:t>
      </w:r>
    </w:p>
    <w:p/>
    <w:p>
      <w:pPr>
        <w:spacing w:after="150"/>
      </w:pPr>
      <w:r>
        <w:t xml:space="preserve">**Options considered:**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Self-hosted on Render — requires a separate service, uses Render free tier slot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Managed Redis — reliable, handled by cloud provider, BullMQ compatible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Managed Redis requires zero infrastructure management and works over TLS out of the box. BullMQ requires a dedicated connection — managed services handle this fine via `ioredis`.</w:t>
      </w:r>
    </w:p>
    <w:p/>
    <w:p>
      <w:pPr>
        <w:spacing w:after="150"/>
      </w:pPr>
      <w:r>
        <w:t xml:space="preserve">**What might change:** If performance or costs become an issue, we can switch providers by simply updating the `REDIS_URL`.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DL-005 — Deployment: Render over Railway / Fly.io / Heroku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Render</w:t>
      </w:r>
    </w:p>
    <w:p/>
    <w:p>
      <w:pPr>
        <w:spacing w:after="150"/>
      </w:pPr>
      <w:r>
        <w:t xml:space="preserve">**Options considered:**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Railway — generous free tier, but unpredictable billing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Fly.io — more powerful but more complex to configure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Heroku — no longer has a meaningful free tier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Render — simple, GitHub integration, health checks, free tier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Render free tier deploys immediately from GitHub, supports health checks natively, and has clear upgrade paths. The sleep-after-inactivity behaviour on free tier is acceptable for a test deployment.</w:t>
      </w:r>
    </w:p>
    <w:p/>
    <w:p>
      <w:pPr>
        <w:spacing w:after="150"/>
      </w:pPr>
      <w:r>
        <w:t xml:space="preserve">**What might change:** Upgrade to Render Starter ($7/month) when always-on is needed for a real demo or user testing.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DL-006 — Logger: Custom over Pino / Winston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Custom logger</w:t>
      </w:r>
    </w:p>
    <w:p/>
    <w:p>
      <w:pPr>
        <w:spacing w:after="150"/>
      </w:pPr>
      <w:r>
        <w:t xml:space="preserve">**Options considered:**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Pino — very fast, structured JSON, excellent ecosystem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Winston — highly configurable, well-known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— zero dependencies, full control, purpose-built for this project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Pino is excellent but adds a dependency and its configuration is non-trivial to get right in production. Winston is heavier than needed. For a project this size, a custom logger with AsyncLocalStorage context, JSON/pretty formatters, and pluggable transports is straightforward to build and gives full control — which was explicitly requested.</w:t>
      </w:r>
    </w:p>
    <w:p/>
    <w:p>
      <w:pPr>
        <w:spacing w:after="150"/>
      </w:pPr>
      <w:r>
        <w:t xml:space="preserve">**What might change:** If log volume becomes very high and performance matters, revisit Pino.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DL-007 — Encryption: AES-256-GCM over AES-256-CBC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AES-256-GCM for field-level encryption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GCM mode provides authenticated encryption — it both encrypts and verifies data integrity with a single operation. CBC mode requires a separate HMAC for integrity verification. GCM is the modern standard for field-level encryption. No external library needed — Node's built-in `crypto` module handles it.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DL-008 — JWT: Custom HS256 over jsonwebtoken library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Custom JWT implementation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The `jsonwebtoken` npm package is 3+ years without a major update and has had historical vulnerabilities. HS256 JWTs are straightforward to implement with Node's built-in `crypto`. The custom implementation is ~60 lines, fully understood, and has no supply chain risk.</w:t>
      </w:r>
    </w:p>
    <w:p/>
    <w:p>
      <w:pPr>
        <w:spacing w:after="150"/>
      </w:pPr>
      <w:r>
        <w:t xml:space="preserve">**What might change:** If asymmetric keys (RS256) become necessary (e.g. multi-service auth), switch to `jose` or `fast-jwt`.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DL-009 — Ingestion: Orchestrator pattern with explicit fallbacks</w:t>
      </w:r>
    </w:p>
    <w:p/>
    <w:p>
      <w:pPr>
        <w:spacing w:after="150"/>
      </w:pPr>
      <w:r>
        <w:t xml:space="preserve">**Date:** 2026-03-23</w:t>
      </w:r>
    </w:p>
    <w:p>
      <w:pPr>
        <w:spacing w:after="150"/>
      </w:pPr>
      <w:r>
        <w:t xml:space="preserve">**Decision:** Separate source modules + orchestrator that manages fallback switching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TikTok data acquisition is the highest-risk component of the system. A single source that breaks takes down the whole product. The orchestrator pattern means: primary fails → fallback A → fallback B → alert, without any manual intervention. Each source is independently testable. New sources can be added without touching the orchestrator logic.</w:t>
      </w:r>
    </w:p>
    <w:p/>
    <w:p>
      <w:pPr>
        <w:spacing w:after="150"/>
      </w:pPr>
      <w:r>
        <w:t xml:space="preserve">**What might change:** Sources will be confirmed and filled in during Week 1–2 of the engagement.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DL-010 — Auth: Email-first registration with verification code</w:t>
      </w:r>
    </w:p>
    <w:p/>
    <w:p>
      <w:pPr>
        <w:spacing w:after="150"/>
      </w:pPr>
      <w:r>
        <w:t xml:space="preserve">**Date:** 2026-03-27</w:t>
      </w:r>
    </w:p>
    <w:p>
      <w:pPr>
        <w:spacing w:after="150"/>
      </w:pPr>
      <w:r>
        <w:t xml:space="preserve">**Decision:** Registration starts with email only. The backend sends a one-time verification code. The user completes registration by submitting code + password.</w:t>
      </w:r>
    </w:p>
    <w:p/>
    <w:p>
      <w:pPr>
        <w:spacing w:after="150"/>
      </w:pPr>
      <w:r>
        <w:t xml:space="preserve">**Reasoning:**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Prevents account creation with typos (email must be reachable)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Improves security by proving email ownership before enabling password 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Fits the product onboarding flow (minimal friction up front)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DL-011 — Social auth: Google ID token + TikTok OAuth code exchange</w:t>
      </w:r>
    </w:p>
    <w:p/>
    <w:p>
      <w:pPr>
        <w:spacing w:after="150"/>
      </w:pPr>
      <w:r>
        <w:t xml:space="preserve">**Date:** 2026-03-27</w:t>
      </w:r>
    </w:p>
    <w:p>
      <w:pPr>
        <w:spacing w:after="150"/>
      </w:pPr>
      <w:r>
        <w:t xml:space="preserve">**Decision:** Support Google sign-in via ID token verification and TikTok sign-in via OAuth code exchange + user info lookup.</w:t>
      </w:r>
    </w:p>
    <w:p/>
    <w:p>
      <w:pPr>
        <w:spacing w:after="150"/>
      </w:pPr>
      <w:r>
        <w:t xml:space="preserve">**Reasoning:**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Google: frontend can obtain an ID token and exchange it directly with the API for a session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TikTok: OAuth code exchange is the standard flow to obtain access token and fetch user profile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DL-012 — Redis infrastructure: Generalizing for any provider</w:t>
      </w:r>
    </w:p>
    <w:p/>
    <w:p>
      <w:pPr>
        <w:spacing w:after="150"/>
      </w:pPr>
      <w:r>
        <w:t xml:space="preserve">**Date:** 2026-04-02</w:t>
      </w:r>
    </w:p>
    <w:p>
      <w:pPr>
        <w:spacing w:after="150"/>
      </w:pPr>
      <w:r>
        <w:t xml:space="preserve">**Decision:** Generalize the Redis client to support any Redis provider via standard URL and TLS configurations.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Relying solely on Upstash or any specific provider introduces vendor lock-in. By using a standard `ioredis` configuration that supports generic `REDIS_URL` and `REDIS_TLS` toggles, the backend can easily switch between Render Managed Redis, Upstash, or a self-hosted instance without code changes.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DL-013 — Observability: Prometheus Remote Write to Grafana Cloud</w:t>
      </w:r>
    </w:p>
    <w:p/>
    <w:p>
      <w:pPr>
        <w:spacing w:after="150"/>
      </w:pPr>
      <w:r>
        <w:t xml:space="preserve">**Date:** 2026-04-03</w:t>
      </w:r>
    </w:p>
    <w:p>
      <w:pPr>
        <w:spacing w:after="150"/>
      </w:pPr>
      <w:r>
        <w:t xml:space="preserve">**Decision:** Implement Prometheus Remote Write to export metrics directly to Grafana Cloud.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Render services can be restarted or moved, which would lead to loss of local Prometheus metrics if only the `/metrics` endpoint is used. Remote Write ensures that metrics are pushed to a persistent cloud store (Grafana Cloud) in real-time, providing reliable long-term observability and dashboarding.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DL-014 — Documentation: Modular OpenAPI 3.0 Structure</w:t>
      </w:r>
    </w:p>
    <w:p/>
    <w:p>
      <w:pPr>
        <w:spacing w:after="150"/>
      </w:pPr>
      <w:r>
        <w:t xml:space="preserve">**Date:** 2026-04-01</w:t>
      </w:r>
    </w:p>
    <w:p>
      <w:pPr>
        <w:spacing w:after="150"/>
      </w:pPr>
      <w:r>
        <w:t xml:space="preserve">**Decision:** Move from monolithic Swagger descriptions to a modular directory-based structure.</w:t>
      </w:r>
    </w:p>
    <w:p/>
    <w:p>
      <w:pPr>
        <w:spacing w:after="150"/>
      </w:pPr>
      <w:r>
        <w:t xml:space="preserve">**Reasoning:**</w:t>
      </w:r>
    </w:p>
    <w:p>
      <w:pPr>
        <w:spacing w:after="150"/>
      </w:pPr>
      <w:r>
        <w:t xml:space="preserve">As the API grows (Auth, Profile, Products, Ingestion), a single `swagger.yaml` becomes unreadable and prone to merge conflicts. Splitting definitions into per-module files (`auth.yaml`, `products.yaml`) makes the documentation easier to maintain and review.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2026-04-03T15:14:35.165Z</dcterms:created>
  <dcterms:modified xsi:type="dcterms:W3CDTF">2026-04-03T15:14:35.165Z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