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400" w:after="200"/>
      </w:pPr>
      <w:r>
        <w:rPr>
          <w:rFonts w:ascii="Times" w:hAnsi="Times" w:cs="Times"/>
          <w:sz w:val="24"/>
          <w:sz-cs w:val="24"/>
        </w:rPr>
        <w:t xml:space="preserve">Week 2 Status Report — ValidDs Backend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00" w:after="150"/>
      </w:pPr>
      <w:r>
        <w:rPr>
          <w:rFonts w:ascii="Times" w:hAnsi="Times" w:cs="Times"/>
          <w:sz w:val="24"/>
          <w:sz-cs w:val="24"/>
        </w:rPr>
        <w:t xml:space="preserve">Summary</w:t>
      </w:r>
    </w:p>
    <w:p>
      <w:pPr>
        <w:spacing w:after="150"/>
      </w:pPr>
      <w:r>
        <w:rPr>
          <w:rFonts w:ascii="Times" w:hAnsi="Times" w:cs="Times"/>
          <w:sz w:val="24"/>
          <w:sz-cs w:val="24"/>
        </w:rPr>
        <w:t xml:space="preserve">Week 2 focused on finalizing the TikTok data ingestion pipeline, improving system reliability through comprehensive testing, and enhancing observability with Prometheus Remote Write to Grafana Cloud.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00" w:after="20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00" w:after="150"/>
      </w:pPr>
      <w:r>
        <w:rPr>
          <w:rFonts w:ascii="Times" w:hAnsi="Times" w:cs="Times"/>
          <w:sz w:val="24"/>
          <w:sz-cs w:val="24"/>
        </w:rPr>
        <w:t xml:space="preserve">Key Achievements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00" w:after="100"/>
      </w:pPr>
      <w:r>
        <w:rPr>
          <w:rFonts w:ascii="Times" w:hAnsi="Times" w:cs="Times"/>
          <w:sz w:val="24"/>
          <w:sz-cs w:val="24"/>
        </w:rPr>
        <w:t xml:space="preserve">1. Ingestion &amp; Data Quality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**EnsembleData &amp; RapidAPI Integration**: Completed the TikTok data acquisition path. The orchestrator now successfully collects trending ads, videos, hashtags, and keywords.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**Authenticity Scoring**: Implemented a scoring mechanism to evaluate the quality and reliability of ingested product data.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**Job Optimization**: Cleaned up the `product-refresh` background job and improved orchestrator stability by resolving import issues and unused logic.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00" w:after="100"/>
      </w:pPr>
      <w:r>
        <w:rPr>
          <w:rFonts w:ascii="Times" w:hAnsi="Times" w:cs="Times"/>
          <w:sz w:val="24"/>
          <w:sz-cs w:val="24"/>
        </w:rPr>
        <w:t xml:space="preserve">2. Infrastructure &amp; Observability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**Redis Generalization**: Replaced Upstash-specific logic with a generic `ioredis` implementation. The backend now supports any managed Redis provider via standard `REDIS_URL`.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**Prometheus Remote Write**: Configured Prometheus to export metrics in real-time to Grafana Cloud, ensuring persistent metrics storage across service restarts.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**Modular API Documentation**: Reorganized OpenAPI 3.0 specifications into a directory-based structure, improving documentation maintainability.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00" w:after="100"/>
      </w:pPr>
      <w:r>
        <w:rPr>
          <w:rFonts w:ascii="Times" w:hAnsi="Times" w:cs="Times"/>
          <w:sz w:val="24"/>
          <w:sz-cs w:val="24"/>
        </w:rPr>
        <w:t xml:space="preserve">3. Reliability &amp; Testing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**Health Check Stability**: Resolved intermittent 503 errors on the `/ready` endpoint by implementing a robust `jest.mock()` strategy for database and cache connections in tests.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**Comprehensive Test Coverage**: Added new integration tests for the Products API and Ingestion toolset.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**Postman Collection**: Enhanced the Postman workspace with detailed endpoint descriptions and high-quality mock responses for frontend development.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00" w:after="20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00" w:after="150"/>
      </w:pPr>
      <w:r>
        <w:rPr>
          <w:rFonts w:ascii="Times" w:hAnsi="Times" w:cs="Times"/>
          <w:sz w:val="24"/>
          <w:sz-cs w:val="24"/>
        </w:rPr>
        <w:t xml:space="preserve">Technical Updates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**Decision Log**: Added DL-012 (Redis generalization), DL-013 (Remote Write), and DL-014 (Modular Docs).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**Architecture**: Updated the observability diagram to include the Grafana Cloud path.</w:t>
      </w:r>
    </w:p>
    <w:p>
      <w:pPr>
        <w:ind w:left="720" w:first-line="-720"/>
        <w:spacing w:after="10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**Security**: Standardized hashed password management for bcrypt-secured users.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00" w:after="20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00" w:after="2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150"/>
      </w:pPr>
      <w:r>
        <w:rPr>
          <w:rFonts w:ascii="Times" w:hAnsi="Times" w:cs="Times"/>
          <w:sz w:val="24"/>
          <w:sz-cs w:val="24"/>
        </w:rPr>
        <w:t xml:space="preserve">*Last Updated: 2026-04-03*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CocoaOOXMLWriter/2299.77</generator>
</meta>
</file>