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Decision Log (Week 1)</w:t>
      </w:r>
    </w:p>
    <w:p>
      <w:pPr>
        <w:pStyle w:val="Heading1"/>
        <w:spacing w:after="200"/>
      </w:pPr>
      <w:r>
        <w:t xml:space="preserve">Decision Log</w:t>
      </w:r>
    </w:p>
    <w:p/>
    <w:p>
      <w:pPr>
        <w:spacing w:after="120"/>
      </w:pPr>
      <w:r>
        <w:t xml:space="preserve">All significant backend technical decisions are recorded here.</w:t>
      </w:r>
    </w:p>
    <w:p>
      <w:pPr>
        <w:spacing w:after="120"/>
      </w:pPr>
      <w:r>
        <w:t xml:space="preserve">Format: decision made, options considered, reasoning, and what might change later.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DL-001 — Language: TypeScript over plain JavaScript</w:t>
      </w:r>
    </w:p>
    <w:p/>
    <w:p>
      <w:pPr>
        <w:spacing w:after="120"/>
      </w:pPr>
      <w:r>
        <w:t xml:space="preserve">**Date:** 2026-03-23</w:t>
      </w:r>
    </w:p>
    <w:p>
      <w:pPr>
        <w:spacing w:after="120"/>
      </w:pPr>
      <w:r>
        <w:t xml:space="preserve">**Decision:** Use TypeScript throughout</w:t>
      </w:r>
    </w:p>
    <w:p/>
    <w:p>
      <w:pPr>
        <w:spacing w:after="120"/>
      </w:pPr>
      <w:r>
        <w:t xml:space="preserve">**Options considered:**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Plain JavaScript — faster to start, no compilation step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TypeScript — type safety, better IDE support, catches bugs at compile time</w:t>
      </w:r>
    </w:p>
    <w:p/>
    <w:p>
      <w:pPr>
        <w:spacing w:after="120"/>
      </w:pPr>
      <w:r>
        <w:t xml:space="preserve">**Reasoning:**</w:t>
      </w:r>
    </w:p>
    <w:p>
      <w:pPr>
        <w:spacing w:after="120"/>
      </w:pPr>
      <w:r>
        <w:t xml:space="preserve">ValidDs is a large project with multiple contributors expected over the contract period. TypeScript pays for itself quickly on a codebase this size through autocomplete, interface contracts between layers, and catching shape mismatches between ingestion transformers and DB schemas.</w:t>
      </w:r>
    </w:p>
    <w:p/>
    <w:p>
      <w:pPr>
        <w:spacing w:after="120"/>
      </w:pPr>
      <w:r>
        <w:t xml:space="preserve">**What might change:** Nothing. TypeScript stays.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DL-002 — Framework: Express over Fastify / NestJS</w:t>
      </w:r>
    </w:p>
    <w:p/>
    <w:p>
      <w:pPr>
        <w:spacing w:after="120"/>
      </w:pPr>
      <w:r>
        <w:t xml:space="preserve">**Date:** 2026-03-23</w:t>
      </w:r>
    </w:p>
    <w:p>
      <w:pPr>
        <w:spacing w:after="120"/>
      </w:pPr>
      <w:r>
        <w:t xml:space="preserve">**Decision:** Express</w:t>
      </w:r>
    </w:p>
    <w:p/>
    <w:p>
      <w:pPr>
        <w:spacing w:after="120"/>
      </w:pPr>
      <w:r>
        <w:t xml:space="preserve">**Options considered:**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Fastify — faster, built-in schema validation, TypeScript-first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NestJS — opinionated, lots of structure out of the box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Express — minimal, widely known, maximum flexibility</w:t>
      </w:r>
    </w:p>
    <w:p/>
    <w:p>
      <w:pPr>
        <w:spacing w:after="120"/>
      </w:pPr>
      <w:r>
        <w:t xml:space="preserve">**Reasoning:**</w:t>
      </w:r>
    </w:p>
    <w:p>
      <w:pPr>
        <w:spacing w:after="120"/>
      </w:pPr>
      <w:r>
        <w:t xml:space="preserve">NestJS would add significant boilerplate and learning curve for a V1 build. Fastify is excellent but less universally familiar. Express is understood by any Node.js engineer who joins — no onboarding friction. Performance difference is irrelevant at V1 scale.</w:t>
      </w:r>
    </w:p>
    <w:p/>
    <w:p>
      <w:pPr>
        <w:spacing w:after="120"/>
      </w:pPr>
      <w:r>
        <w:t xml:space="preserve">**What might change:** Could migrate to Fastify if raw throughput becomes a bottleneck. Not expected for V1.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DL-003 — Database: MongoDB over PostgreSQL</w:t>
      </w:r>
    </w:p>
    <w:p/>
    <w:p>
      <w:pPr>
        <w:spacing w:after="120"/>
      </w:pPr>
      <w:r>
        <w:t xml:space="preserve">**Date:** 2026-03-23</w:t>
      </w:r>
    </w:p>
    <w:p>
      <w:pPr>
        <w:spacing w:after="120"/>
      </w:pPr>
      <w:r>
        <w:t xml:space="preserve">**Decision:** MongoDB (via Mongoose + Atlas)</w:t>
      </w:r>
    </w:p>
    <w:p/>
    <w:p>
      <w:pPr>
        <w:spacing w:after="120"/>
      </w:pPr>
      <w:r>
        <w:t xml:space="preserve">**Options considered:**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PostgreSQL (Supabase or Neon free tier) — relational, strict schema, excellent querying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MongoDB (Atlas M0) — document model, flexible schema, free tier</w:t>
      </w:r>
    </w:p>
    <w:p/>
    <w:p>
      <w:pPr>
        <w:spacing w:after="120"/>
      </w:pPr>
      <w:r>
        <w:t xml:space="preserve">**Reasoning:**</w:t>
      </w:r>
    </w:p>
    <w:p>
      <w:pPr>
        <w:spacing w:after="120"/>
      </w:pPr>
      <w:r>
        <w:t xml:space="preserve">TikTok product data is schema-heavy in some areas and sparse in others. Products have varying field availability depending on the data source. A document model handles this without constant migrations. Atlas M0 provides a generous free tier. The product feed + detail query patterns map cleanly to MongoDB.</w:t>
      </w:r>
    </w:p>
    <w:p/>
    <w:p>
      <w:pPr>
        <w:spacing w:after="120"/>
      </w:pPr>
      <w:r>
        <w:t xml:space="preserve">**What might change:** If complex relational queries become necessary (e.g. multi-table joins for supplier–product relationships), a hybrid approach (MongoDB + Redis for cache + optional Postgres for specific analytics tables) might be considered.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DL-004 — Redis provider: Upstash over self-hosted or Railway</w:t>
      </w:r>
    </w:p>
    <w:p/>
    <w:p>
      <w:pPr>
        <w:spacing w:after="120"/>
      </w:pPr>
      <w:r>
        <w:t xml:space="preserve">**Date:** 2026-03-23</w:t>
      </w:r>
    </w:p>
    <w:p>
      <w:pPr>
        <w:spacing w:after="120"/>
      </w:pPr>
      <w:r>
        <w:t xml:space="preserve">**Decision:** Upstash</w:t>
      </w:r>
    </w:p>
    <w:p/>
    <w:p>
      <w:pPr>
        <w:spacing w:after="120"/>
      </w:pPr>
      <w:r>
        <w:t xml:space="preserve">**Options considered:**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Self-hosted on Render — requires a separate service, uses Render free tier slot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Railway Redis — free tier is limited, Railway can be unpredictable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Upstash — serverless, TLS by default, BullMQ compatible, 10k commands/day free</w:t>
      </w:r>
    </w:p>
    <w:p/>
    <w:p>
      <w:pPr>
        <w:spacing w:after="120"/>
      </w:pPr>
      <w:r>
        <w:t xml:space="preserve">**Reasoning:**</w:t>
      </w:r>
    </w:p>
    <w:p>
      <w:pPr>
        <w:spacing w:after="120"/>
      </w:pPr>
      <w:r>
        <w:t xml:space="preserve">Upstash requires zero infrastructure management and works over HTTPS/TLS out of the box. The 10k commands/day free tier is sufficient for V1. BullMQ requires a dedicated connection — Upstash handles this fine via `ioredis`.</w:t>
      </w:r>
    </w:p>
    <w:p/>
    <w:p>
      <w:pPr>
        <w:spacing w:after="120"/>
      </w:pPr>
      <w:r>
        <w:t xml:space="preserve">**What might change:** If daily command usage consistently exceeds 10k, upgrade to Upstash pay-as-you-go (~$0.20 per 100k commands).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DL-005 — Deployment: Render over Railway / Fly.io / Heroku</w:t>
      </w:r>
    </w:p>
    <w:p/>
    <w:p>
      <w:pPr>
        <w:spacing w:after="120"/>
      </w:pPr>
      <w:r>
        <w:t xml:space="preserve">**Date:** 2026-03-23</w:t>
      </w:r>
    </w:p>
    <w:p>
      <w:pPr>
        <w:spacing w:after="120"/>
      </w:pPr>
      <w:r>
        <w:t xml:space="preserve">**Decision:** Render</w:t>
      </w:r>
    </w:p>
    <w:p/>
    <w:p>
      <w:pPr>
        <w:spacing w:after="120"/>
      </w:pPr>
      <w:r>
        <w:t xml:space="preserve">**Options considered:**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Railway — generous free tier, but unpredictable billing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Fly.io — more powerful but more complex to configure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Heroku — no longer has a meaningful free tier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Render — simple, GitHub integration, health checks, free tier</w:t>
      </w:r>
    </w:p>
    <w:p/>
    <w:p>
      <w:pPr>
        <w:spacing w:after="120"/>
      </w:pPr>
      <w:r>
        <w:t xml:space="preserve">**Reasoning:**</w:t>
      </w:r>
    </w:p>
    <w:p>
      <w:pPr>
        <w:spacing w:after="120"/>
      </w:pPr>
      <w:r>
        <w:t xml:space="preserve">Render free tier deploys immediately from GitHub, supports health checks natively, and has clear upgrade paths. The sleep-after-inactivity behaviour on free tier is acceptable for a test deployment.</w:t>
      </w:r>
    </w:p>
    <w:p/>
    <w:p>
      <w:pPr>
        <w:spacing w:after="120"/>
      </w:pPr>
      <w:r>
        <w:t xml:space="preserve">**What might change:** Upgrade to Render Starter ($7/month) when always-on is needed for a real demo or user testing.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DL-006 — Logger: Custom over Pino / Winston</w:t>
      </w:r>
    </w:p>
    <w:p/>
    <w:p>
      <w:pPr>
        <w:spacing w:after="120"/>
      </w:pPr>
      <w:r>
        <w:t xml:space="preserve">**Date:** 2026-03-23</w:t>
      </w:r>
    </w:p>
    <w:p>
      <w:pPr>
        <w:spacing w:after="120"/>
      </w:pPr>
      <w:r>
        <w:t xml:space="preserve">**Decision:** Custom logger</w:t>
      </w:r>
    </w:p>
    <w:p/>
    <w:p>
      <w:pPr>
        <w:spacing w:after="120"/>
      </w:pPr>
      <w:r>
        <w:t xml:space="preserve">**Options considered:**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Pino — very fast, structured JSON, excellent ecosystem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Winston — highly configurable, well-known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 — zero dependencies, full control, purpose-built for this project</w:t>
      </w:r>
    </w:p>
    <w:p/>
    <w:p>
      <w:pPr>
        <w:spacing w:after="120"/>
      </w:pPr>
      <w:r>
        <w:t xml:space="preserve">**Reasoning:**</w:t>
      </w:r>
    </w:p>
    <w:p>
      <w:pPr>
        <w:spacing w:after="120"/>
      </w:pPr>
      <w:r>
        <w:t xml:space="preserve">Pino is excellent but adds a dependency and its configuration is non-trivial to get right in production. Winston is heavier than needed. For a project this size, a custom logger with AsyncLocalStorage context, JSON/pretty formatters, and pluggable transports is straightforward to build and gives full control — which was explicitly requested.</w:t>
      </w:r>
    </w:p>
    <w:p/>
    <w:p>
      <w:pPr>
        <w:spacing w:after="120"/>
      </w:pPr>
      <w:r>
        <w:t xml:space="preserve">**What might change:** If log volume becomes very high and performance matters, revisit Pino.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DL-007 — Encryption: AES-256-GCM over AES-256-CBC</w:t>
      </w:r>
    </w:p>
    <w:p/>
    <w:p>
      <w:pPr>
        <w:spacing w:after="120"/>
      </w:pPr>
      <w:r>
        <w:t xml:space="preserve">**Date:** 2026-03-23</w:t>
      </w:r>
    </w:p>
    <w:p>
      <w:pPr>
        <w:spacing w:after="120"/>
      </w:pPr>
      <w:r>
        <w:t xml:space="preserve">**Decision:** AES-256-GCM for field-level encryption</w:t>
      </w:r>
    </w:p>
    <w:p/>
    <w:p>
      <w:pPr>
        <w:spacing w:after="120"/>
      </w:pPr>
      <w:r>
        <w:t xml:space="preserve">**Reasoning:**</w:t>
      </w:r>
    </w:p>
    <w:p>
      <w:pPr>
        <w:spacing w:after="120"/>
      </w:pPr>
      <w:r>
        <w:t xml:space="preserve">GCM mode provides authenticated encryption — it both encrypts and verifies data integrity with a single operation. CBC mode requires a separate HMAC for integrity verification. GCM is the modern standard for field-level encryption. No external library needed — Node's built-in `crypto` module handles it.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DL-008 — JWT: Custom HS256 over jsonwebtoken library</w:t>
      </w:r>
    </w:p>
    <w:p/>
    <w:p>
      <w:pPr>
        <w:spacing w:after="120"/>
      </w:pPr>
      <w:r>
        <w:t xml:space="preserve">**Date:** 2026-03-23</w:t>
      </w:r>
    </w:p>
    <w:p>
      <w:pPr>
        <w:spacing w:after="120"/>
      </w:pPr>
      <w:r>
        <w:t xml:space="preserve">**Decision:** Custom JWT implementation</w:t>
      </w:r>
    </w:p>
    <w:p/>
    <w:p>
      <w:pPr>
        <w:spacing w:after="120"/>
      </w:pPr>
      <w:r>
        <w:t xml:space="preserve">**Reasoning:**</w:t>
      </w:r>
    </w:p>
    <w:p>
      <w:pPr>
        <w:spacing w:after="120"/>
      </w:pPr>
      <w:r>
        <w:t xml:space="preserve">The `jsonwebtoken` npm package is 3+ years without a major update and has had historical vulnerabilities. HS256 JWTs are straightforward to implement with Node's built-in `crypto`. The custom implementation is ~60 lines, fully understood, and has no supply chain risk.</w:t>
      </w:r>
    </w:p>
    <w:p/>
    <w:p>
      <w:pPr>
        <w:spacing w:after="120"/>
      </w:pPr>
      <w:r>
        <w:t xml:space="preserve">**What might change:** If asymmetric keys (RS256) become necessary (e.g. multi-service auth), switch to `jose` or `fast-jwt`.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DL-009 — Ingestion: Orchestrator pattern with explicit fallbacks</w:t>
      </w:r>
    </w:p>
    <w:p/>
    <w:p>
      <w:pPr>
        <w:spacing w:after="120"/>
      </w:pPr>
      <w:r>
        <w:t xml:space="preserve">**Date:** 2026-03-23</w:t>
      </w:r>
    </w:p>
    <w:p>
      <w:pPr>
        <w:spacing w:after="120"/>
      </w:pPr>
      <w:r>
        <w:t xml:space="preserve">**Decision:** Separate source modules + orchestrator that manages fallback switching</w:t>
      </w:r>
    </w:p>
    <w:p/>
    <w:p>
      <w:pPr>
        <w:spacing w:after="120"/>
      </w:pPr>
      <w:r>
        <w:t xml:space="preserve">**Reasoning:**</w:t>
      </w:r>
    </w:p>
    <w:p>
      <w:pPr>
        <w:spacing w:after="120"/>
      </w:pPr>
      <w:r>
        <w:t xml:space="preserve">TikTok data acquisition is the highest-risk component of the system. A single source that breaks takes down the whole product. The orchestrator pattern means: primary fails → fallback A → fallback B → alert, without any manual intervention. Each source is independently testable. New sources can be added without touching the orchestrator logic.</w:t>
      </w:r>
    </w:p>
    <w:p/>
    <w:p>
      <w:pPr>
        <w:spacing w:after="120"/>
      </w:pPr>
      <w:r>
        <w:t xml:space="preserve">**What might change:** Sources will be confirmed and filled in during Week 1–2 of the engagement.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DL-010 — Auth: Email-first registration with verification code</w:t>
      </w:r>
    </w:p>
    <w:p/>
    <w:p>
      <w:pPr>
        <w:spacing w:after="120"/>
      </w:pPr>
      <w:r>
        <w:t xml:space="preserve">**Date:** 2026-03-27</w:t>
      </w:r>
    </w:p>
    <w:p>
      <w:pPr>
        <w:spacing w:after="120"/>
      </w:pPr>
      <w:r>
        <w:t xml:space="preserve">**Decision:** Registration starts with email only. The backend sends a one-time verification code. The user completes registration by submitting code + password.</w:t>
      </w:r>
    </w:p>
    <w:p/>
    <w:p>
      <w:pPr>
        <w:spacing w:after="120"/>
      </w:pPr>
      <w:r>
        <w:t xml:space="preserve">**Reasoning:**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Prevents account creation with typos (email must be reachable)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Improves security by proving email ownership before enabling password login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Fits the product onboarding flow (minimal friction up front)</w:t>
      </w:r>
    </w:p>
    <w:p/>
    <w:p>
      <w:pPr>
        <w:spacing w:after="120"/>
      </w:pPr>
      <w:r>
        <w:t xml:space="preserve">---</w:t>
      </w:r>
    </w:p>
    <w:p/>
    <w:p>
      <w:pPr>
        <w:pStyle w:val="Heading2"/>
        <w:spacing w:after="200"/>
      </w:pPr>
      <w:r>
        <w:t xml:space="preserve">DL-011 — Social auth: Google ID token + TikTok OAuth code exchange</w:t>
      </w:r>
    </w:p>
    <w:p/>
    <w:p>
      <w:pPr>
        <w:spacing w:after="120"/>
      </w:pPr>
      <w:r>
        <w:t xml:space="preserve">**Date:** 2026-03-27</w:t>
      </w:r>
    </w:p>
    <w:p>
      <w:pPr>
        <w:spacing w:after="120"/>
      </w:pPr>
      <w:r>
        <w:t xml:space="preserve">**Decision:** Support Google sign-in via ID token verification and TikTok sign-in via OAuth code exchange + user info lookup.</w:t>
      </w:r>
    </w:p>
    <w:p/>
    <w:p>
      <w:pPr>
        <w:spacing w:after="120"/>
      </w:pPr>
      <w:r>
        <w:t xml:space="preserve">**Reasoning:**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Google: frontend can obtain an ID token and exchange it directly with the API for a session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TikTok: OAuth code exchange is the standard flow to obtain access token and fetch user profile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2026-03-27T13:03:38.896Z</dcterms:created>
  <dcterms:modified xsi:type="dcterms:W3CDTF">2026-03-27T13:03:38.896Z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