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F563" w14:textId="1D3053D8" w:rsidR="00FA731D" w:rsidRDefault="00FA731D" w:rsidP="00CE23BE">
      <w:pPr>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HYPERLINK "</w:instrText>
      </w:r>
      <w:r w:rsidRPr="00FA731D">
        <w:rPr>
          <w:rFonts w:ascii="Calibri" w:eastAsia="Times New Roman" w:hAnsi="Calibri" w:cs="Calibri"/>
          <w:color w:val="000000"/>
        </w:rPr>
        <w:instrText>https://www.cognizant.com/us/en/about-cognizant</w:instrText>
      </w:r>
      <w:r>
        <w:rPr>
          <w:rFonts w:ascii="Calibri" w:eastAsia="Times New Roman" w:hAnsi="Calibri" w:cs="Calibri"/>
          <w:color w:val="000000"/>
        </w:rPr>
        <w:instrText xml:space="preserve">" </w:instrText>
      </w:r>
      <w:r>
        <w:rPr>
          <w:rFonts w:ascii="Calibri" w:eastAsia="Times New Roman" w:hAnsi="Calibri" w:cs="Calibri"/>
          <w:color w:val="000000"/>
        </w:rPr>
      </w:r>
      <w:r>
        <w:rPr>
          <w:rFonts w:ascii="Calibri" w:eastAsia="Times New Roman" w:hAnsi="Calibri" w:cs="Calibri"/>
          <w:color w:val="000000"/>
        </w:rPr>
        <w:fldChar w:fldCharType="separate"/>
      </w:r>
      <w:r w:rsidRPr="002629D5">
        <w:rPr>
          <w:rStyle w:val="Hyperlink"/>
          <w:rFonts w:ascii="Calibri" w:eastAsia="Times New Roman" w:hAnsi="Calibri" w:cs="Calibri"/>
        </w:rPr>
        <w:t>https://www.cognizant.com/us/en/about-cognizant</w:t>
      </w:r>
      <w:r>
        <w:rPr>
          <w:rFonts w:ascii="Calibri" w:eastAsia="Times New Roman" w:hAnsi="Calibri" w:cs="Calibri"/>
          <w:color w:val="000000"/>
        </w:rPr>
        <w:fldChar w:fldCharType="end"/>
      </w:r>
    </w:p>
    <w:p w14:paraId="620D41A2" w14:textId="170D23A4" w:rsidR="00FA731D" w:rsidRDefault="00000000" w:rsidP="00CE23BE">
      <w:pPr>
        <w:rPr>
          <w:rFonts w:ascii="Calibri" w:eastAsia="Times New Roman" w:hAnsi="Calibri" w:cs="Calibri"/>
          <w:color w:val="000000"/>
        </w:rPr>
      </w:pPr>
      <w:hyperlink r:id="rId5" w:history="1">
        <w:r w:rsidR="00FA731D" w:rsidRPr="002629D5">
          <w:rPr>
            <w:rStyle w:val="Hyperlink"/>
            <w:rFonts w:ascii="Calibri" w:eastAsia="Times New Roman" w:hAnsi="Calibri" w:cs="Calibri"/>
          </w:rPr>
          <w:t>https://www.cognizant.com/en_us/about/documents/q4-2022-corporate-overview.pdf</w:t>
        </w:r>
      </w:hyperlink>
    </w:p>
    <w:p w14:paraId="6E1D0B50" w14:textId="2C8757E3" w:rsidR="00FA731D" w:rsidRDefault="00000000" w:rsidP="00CE23BE">
      <w:pPr>
        <w:rPr>
          <w:rFonts w:ascii="Calibri" w:eastAsia="Times New Roman" w:hAnsi="Calibri" w:cs="Calibri"/>
          <w:color w:val="000000"/>
        </w:rPr>
      </w:pPr>
      <w:hyperlink r:id="rId6" w:history="1">
        <w:r w:rsidR="00FA731D" w:rsidRPr="002629D5">
          <w:rPr>
            <w:rStyle w:val="Hyperlink"/>
            <w:rFonts w:ascii="Calibri" w:eastAsia="Times New Roman" w:hAnsi="Calibri" w:cs="Calibri"/>
          </w:rPr>
          <w:t>https://www.cognizant.com/en_us/about/documents/q4-2022-corporate-factsheet.pdf</w:t>
        </w:r>
      </w:hyperlink>
    </w:p>
    <w:p w14:paraId="5F435DCE" w14:textId="7A7BBF07" w:rsidR="009B092D" w:rsidRDefault="00000000" w:rsidP="00CE23BE">
      <w:pPr>
        <w:rPr>
          <w:rFonts w:ascii="Calibri" w:eastAsia="Times New Roman" w:hAnsi="Calibri" w:cs="Calibri"/>
          <w:color w:val="000000"/>
        </w:rPr>
      </w:pPr>
      <w:hyperlink r:id="rId7" w:history="1">
        <w:r w:rsidR="009B092D" w:rsidRPr="002629D5">
          <w:rPr>
            <w:rStyle w:val="Hyperlink"/>
            <w:rFonts w:ascii="Calibri" w:eastAsia="Times New Roman" w:hAnsi="Calibri" w:cs="Calibri"/>
          </w:rPr>
          <w:t>https://seekingalpha.com/article/3784566-cognizant-dominant-player-in-booming-software-service-industry</w:t>
        </w:r>
      </w:hyperlink>
    </w:p>
    <w:p w14:paraId="785C5B36" w14:textId="5F7C50B3" w:rsidR="00FB4675" w:rsidRDefault="00000000" w:rsidP="00CE23BE">
      <w:pPr>
        <w:rPr>
          <w:rStyle w:val="Hyperlink"/>
          <w:rFonts w:ascii="Calibri" w:eastAsia="Times New Roman" w:hAnsi="Calibri" w:cs="Calibri"/>
        </w:rPr>
      </w:pPr>
      <w:hyperlink r:id="rId8" w:history="1">
        <w:r w:rsidR="00FB4675" w:rsidRPr="002629D5">
          <w:rPr>
            <w:rStyle w:val="Hyperlink"/>
            <w:rFonts w:ascii="Calibri" w:eastAsia="Times New Roman" w:hAnsi="Calibri" w:cs="Calibri"/>
          </w:rPr>
          <w:t>https://comparable-companies.com/search?domain=https://www.cognizant.com</w:t>
        </w:r>
      </w:hyperlink>
    </w:p>
    <w:p w14:paraId="3F30BCA4" w14:textId="6CF78E93" w:rsidR="00B776E8" w:rsidRDefault="00B776E8" w:rsidP="00CE23BE">
      <w:pPr>
        <w:rPr>
          <w:rFonts w:ascii="Calibri" w:eastAsia="Times New Roman" w:hAnsi="Calibri" w:cs="Calibri"/>
          <w:color w:val="000000"/>
        </w:rPr>
      </w:pPr>
      <w:hyperlink r:id="rId9" w:history="1">
        <w:r w:rsidRPr="00DE0721">
          <w:rPr>
            <w:rStyle w:val="Hyperlink"/>
            <w:rFonts w:ascii="Calibri" w:eastAsia="Times New Roman" w:hAnsi="Calibri" w:cs="Calibri"/>
          </w:rPr>
          <w:t>https://www.nasdaq.com/market-activity/stocks/ctsh/dividend-history</w:t>
        </w:r>
      </w:hyperlink>
    </w:p>
    <w:p w14:paraId="19F94BD6" w14:textId="43DE22FA" w:rsidR="00B776E8" w:rsidRDefault="00B776E8" w:rsidP="00CE23BE">
      <w:pPr>
        <w:rPr>
          <w:rFonts w:ascii="Calibri" w:eastAsia="Times New Roman" w:hAnsi="Calibri" w:cs="Calibri"/>
          <w:color w:val="000000"/>
        </w:rPr>
      </w:pPr>
      <w:hyperlink r:id="rId10" w:history="1">
        <w:r w:rsidRPr="00DE0721">
          <w:rPr>
            <w:rStyle w:val="Hyperlink"/>
            <w:rFonts w:ascii="Calibri" w:eastAsia="Times New Roman" w:hAnsi="Calibri" w:cs="Calibri"/>
          </w:rPr>
          <w:t>https://corporatefinanceinstitute.com/resources/valuation/dividend-growth-rate/</w:t>
        </w:r>
      </w:hyperlink>
    </w:p>
    <w:p w14:paraId="5582B5D5" w14:textId="77777777" w:rsidR="00B776E8" w:rsidRDefault="00B776E8" w:rsidP="00CE23BE">
      <w:pPr>
        <w:rPr>
          <w:rFonts w:ascii="Calibri" w:eastAsia="Times New Roman" w:hAnsi="Calibri" w:cs="Calibri"/>
          <w:color w:val="000000"/>
        </w:rPr>
      </w:pPr>
    </w:p>
    <w:p w14:paraId="43A4FA44" w14:textId="77777777" w:rsidR="00FA731D" w:rsidRDefault="00FA731D" w:rsidP="00CE23BE">
      <w:pPr>
        <w:rPr>
          <w:rFonts w:ascii="Calibri" w:eastAsia="Times New Roman" w:hAnsi="Calibri" w:cs="Calibri"/>
          <w:color w:val="000000"/>
        </w:rPr>
      </w:pPr>
    </w:p>
    <w:p w14:paraId="1FB2C481" w14:textId="69E67C77" w:rsidR="00FA731D" w:rsidRPr="00FA731D" w:rsidRDefault="00FA731D" w:rsidP="00FA731D">
      <w:pPr>
        <w:rPr>
          <w:rFonts w:ascii="Calibri" w:eastAsia="Times New Roman" w:hAnsi="Calibri" w:cs="Calibri"/>
          <w:color w:val="000000"/>
        </w:rPr>
      </w:pPr>
      <w:proofErr w:type="gramStart"/>
      <w:r w:rsidRPr="00FA731D">
        <w:rPr>
          <w:rFonts w:ascii="Calibri" w:eastAsia="Times New Roman" w:hAnsi="Calibri" w:cs="Calibri"/>
          <w:color w:val="000000"/>
        </w:rPr>
        <w:t>355,300</w:t>
      </w:r>
      <w:r>
        <w:rPr>
          <w:rFonts w:ascii="Calibri" w:eastAsia="Times New Roman" w:hAnsi="Calibri" w:cs="Calibri"/>
          <w:color w:val="000000"/>
        </w:rPr>
        <w:t xml:space="preserve">  </w:t>
      </w:r>
      <w:r w:rsidRPr="00FA731D">
        <w:rPr>
          <w:rFonts w:ascii="Calibri" w:eastAsia="Times New Roman" w:hAnsi="Calibri" w:cs="Calibri"/>
          <w:color w:val="000000"/>
        </w:rPr>
        <w:t>Employees</w:t>
      </w:r>
      <w:proofErr w:type="gramEnd"/>
      <w:r w:rsidRPr="00FA731D">
        <w:rPr>
          <w:rFonts w:ascii="Calibri" w:eastAsia="Times New Roman" w:hAnsi="Calibri" w:cs="Calibri"/>
          <w:color w:val="000000"/>
        </w:rPr>
        <w:t xml:space="preserve"> worldwide</w:t>
      </w:r>
    </w:p>
    <w:p w14:paraId="28293B24" w14:textId="77777777" w:rsidR="00FA731D" w:rsidRPr="00FA731D" w:rsidRDefault="00FA731D" w:rsidP="00FA731D">
      <w:pPr>
        <w:rPr>
          <w:rFonts w:ascii="Calibri" w:eastAsia="Times New Roman" w:hAnsi="Calibri" w:cs="Calibri"/>
          <w:color w:val="000000"/>
        </w:rPr>
      </w:pPr>
    </w:p>
    <w:p w14:paraId="234389EF" w14:textId="5A4D29B2" w:rsidR="00FA731D" w:rsidRPr="00FA731D" w:rsidRDefault="00FA731D" w:rsidP="00FA731D">
      <w:pPr>
        <w:rPr>
          <w:rFonts w:ascii="Calibri" w:eastAsia="Times New Roman" w:hAnsi="Calibri" w:cs="Calibri"/>
          <w:color w:val="000000"/>
        </w:rPr>
      </w:pPr>
      <w:r w:rsidRPr="00FA731D">
        <w:rPr>
          <w:rFonts w:ascii="Calibri" w:eastAsia="Times New Roman" w:hAnsi="Calibri" w:cs="Calibri"/>
          <w:color w:val="000000"/>
        </w:rPr>
        <w:t>$19.4B</w:t>
      </w:r>
      <w:r>
        <w:rPr>
          <w:rFonts w:ascii="Calibri" w:eastAsia="Times New Roman" w:hAnsi="Calibri" w:cs="Calibri"/>
          <w:color w:val="000000"/>
        </w:rPr>
        <w:t xml:space="preserve"> </w:t>
      </w:r>
      <w:r w:rsidRPr="00FA731D">
        <w:rPr>
          <w:rFonts w:ascii="Calibri" w:eastAsia="Times New Roman" w:hAnsi="Calibri" w:cs="Calibri"/>
          <w:color w:val="000000"/>
        </w:rPr>
        <w:t>Total revenue</w:t>
      </w:r>
    </w:p>
    <w:p w14:paraId="710F5E0D" w14:textId="77777777" w:rsidR="00FA731D" w:rsidRPr="00FA731D" w:rsidRDefault="00FA731D" w:rsidP="00FA731D">
      <w:pPr>
        <w:rPr>
          <w:rFonts w:ascii="Calibri" w:eastAsia="Times New Roman" w:hAnsi="Calibri" w:cs="Calibri"/>
          <w:color w:val="000000"/>
        </w:rPr>
      </w:pPr>
    </w:p>
    <w:p w14:paraId="285C1891" w14:textId="4E22840A" w:rsidR="00FA731D" w:rsidRDefault="00FA731D" w:rsidP="00FA731D">
      <w:pPr>
        <w:rPr>
          <w:rFonts w:ascii="Calibri" w:eastAsia="Times New Roman" w:hAnsi="Calibri" w:cs="Calibri"/>
          <w:color w:val="000000"/>
        </w:rPr>
      </w:pPr>
      <w:r w:rsidRPr="00FA731D">
        <w:rPr>
          <w:rFonts w:ascii="Calibri" w:eastAsia="Times New Roman" w:hAnsi="Calibri" w:cs="Calibri"/>
          <w:color w:val="000000"/>
        </w:rPr>
        <w:t>#194</w:t>
      </w:r>
      <w:r>
        <w:rPr>
          <w:rFonts w:ascii="Calibri" w:eastAsia="Times New Roman" w:hAnsi="Calibri" w:cs="Calibri"/>
          <w:color w:val="000000"/>
        </w:rPr>
        <w:t xml:space="preserve"> </w:t>
      </w:r>
      <w:r w:rsidRPr="00FA731D">
        <w:rPr>
          <w:rFonts w:ascii="Calibri" w:eastAsia="Times New Roman" w:hAnsi="Calibri" w:cs="Calibri"/>
          <w:color w:val="000000"/>
        </w:rPr>
        <w:t>2022 Fortune 500 ranking</w:t>
      </w:r>
    </w:p>
    <w:p w14:paraId="0BF9C7D4" w14:textId="77777777" w:rsidR="00FA731D" w:rsidRDefault="00FA731D" w:rsidP="00CE23BE">
      <w:pPr>
        <w:rPr>
          <w:rFonts w:ascii="Calibri" w:eastAsia="Times New Roman" w:hAnsi="Calibri" w:cs="Calibri"/>
          <w:color w:val="000000"/>
        </w:rPr>
      </w:pPr>
    </w:p>
    <w:p w14:paraId="2C216135" w14:textId="73B89A06"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Cognizant Technology Solutions was founded in 1994 in the United States and initially focused on providing technology development and support services to its clients. The company grew rapidly in the late 1990s and early 2000s, expanding its operations to India in 1996 and becoming a public company in 1998 when it was listed on the NASDAQ stock exchange.</w:t>
      </w:r>
    </w:p>
    <w:p w14:paraId="2D14861F"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Over the years, Cognizant has expanded its service offerings to include digital, technology, consulting, and operations services. The company has a global workforce of over 300,000 employees, serving clients in more than 40 countries. In recent years, Cognizant has been investing heavily in innovation and expanding its digital capabilities to better serve its clients in the evolving digital landscape.</w:t>
      </w:r>
    </w:p>
    <w:p w14:paraId="0F11D2F7"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Cognizant's ability to adapt and innovate has been key to its success in this challenging environment.</w:t>
      </w:r>
    </w:p>
    <w:p w14:paraId="0A5B88A7"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The IT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w:t>
      </w:r>
    </w:p>
    <w:p w14:paraId="3CA90E22"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 xml:space="preserve">In conclusion, Cognizant Technology Solutions has a strong history of growth and innovation in the IT industry, and its current operations remain focused on providing digital transformation solutions and services to its clients. The company operates in a highly competitive environment, but its ability to adapt and innovate has enabled it to maintain its market position. The macroeconomic environment </w:t>
      </w:r>
      <w:r w:rsidRPr="00CE23BE">
        <w:rPr>
          <w:rFonts w:ascii="Calibri" w:eastAsia="Times New Roman" w:hAnsi="Calibri" w:cs="Calibri"/>
          <w:color w:val="000000"/>
        </w:rPr>
        <w:lastRenderedPageBreak/>
        <w:t>and business cycle are currently favorable for Cognizant's business, and the company's continued investment in innovation and expansion bodes well for its future growth.</w:t>
      </w:r>
    </w:p>
    <w:p w14:paraId="3C900C63" w14:textId="77777777" w:rsidR="00CE23BE" w:rsidRPr="00CE23BE" w:rsidRDefault="00CE23BE" w:rsidP="00CE23BE">
      <w:pPr>
        <w:rPr>
          <w:rFonts w:ascii="Calibri" w:eastAsia="Times New Roman" w:hAnsi="Calibri" w:cs="Calibri"/>
          <w:color w:val="000000"/>
        </w:rPr>
      </w:pPr>
    </w:p>
    <w:p w14:paraId="7D380A3A" w14:textId="77777777" w:rsidR="00CE23BE" w:rsidRPr="00CE23BE" w:rsidRDefault="00CE23BE" w:rsidP="00CE23BE">
      <w:pPr>
        <w:rPr>
          <w:rFonts w:ascii="Calibri" w:eastAsia="Times New Roman" w:hAnsi="Calibri" w:cs="Calibri"/>
          <w:color w:val="000000"/>
        </w:rPr>
      </w:pPr>
    </w:p>
    <w:p w14:paraId="02BBF358" w14:textId="70508A90" w:rsidR="00CB2BD7" w:rsidRDefault="00CB2BD7" w:rsidP="00CE23BE"/>
    <w:p w14:paraId="5CE0BB29" w14:textId="3478EFAF" w:rsidR="00CE23BE" w:rsidRDefault="00CE23BE" w:rsidP="00CE23BE"/>
    <w:p w14:paraId="1E8FD39C" w14:textId="1E06C5C9" w:rsidR="00CE23BE" w:rsidRDefault="00FB4675" w:rsidP="00CE23BE">
      <w:r w:rsidRPr="00FB4675">
        <w:rPr>
          <w:noProof/>
        </w:rPr>
        <w:drawing>
          <wp:inline distT="0" distB="0" distL="0" distR="0" wp14:anchorId="04DE6BAB" wp14:editId="7DC7559A">
            <wp:extent cx="5731510" cy="4017010"/>
            <wp:effectExtent l="0" t="0" r="2540" b="254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1"/>
                    <a:stretch>
                      <a:fillRect/>
                    </a:stretch>
                  </pic:blipFill>
                  <pic:spPr>
                    <a:xfrm>
                      <a:off x="0" y="0"/>
                      <a:ext cx="5731510" cy="4017010"/>
                    </a:xfrm>
                    <a:prstGeom prst="rect">
                      <a:avLst/>
                    </a:prstGeom>
                  </pic:spPr>
                </pic:pic>
              </a:graphicData>
            </a:graphic>
          </wp:inline>
        </w:drawing>
      </w:r>
    </w:p>
    <w:tbl>
      <w:tblPr>
        <w:tblW w:w="9360" w:type="dxa"/>
        <w:tblLook w:val="04A0" w:firstRow="1" w:lastRow="0" w:firstColumn="1" w:lastColumn="0" w:noHBand="0" w:noVBand="1"/>
      </w:tblPr>
      <w:tblGrid>
        <w:gridCol w:w="9360"/>
      </w:tblGrid>
      <w:tr w:rsidR="00CE23BE" w:rsidRPr="00CE23BE" w14:paraId="5726800C" w14:textId="77777777" w:rsidTr="00CE23BE">
        <w:trPr>
          <w:trHeight w:val="292"/>
        </w:trPr>
        <w:tc>
          <w:tcPr>
            <w:tcW w:w="9360" w:type="dxa"/>
            <w:tcBorders>
              <w:top w:val="nil"/>
              <w:left w:val="nil"/>
              <w:bottom w:val="nil"/>
              <w:right w:val="nil"/>
            </w:tcBorders>
            <w:shd w:val="clear" w:color="auto" w:fill="auto"/>
            <w:noWrap/>
            <w:vAlign w:val="bottom"/>
            <w:hideMark/>
          </w:tcPr>
          <w:p w14:paraId="6989664D" w14:textId="77777777" w:rsidR="00CE23BE" w:rsidRPr="00CE23BE" w:rsidRDefault="00CE23BE" w:rsidP="00CE23BE">
            <w:pPr>
              <w:spacing w:after="0" w:line="240" w:lineRule="auto"/>
              <w:rPr>
                <w:rFonts w:ascii="Calibri" w:eastAsia="Times New Roman" w:hAnsi="Calibri" w:cs="Calibri"/>
                <w:color w:val="000000"/>
              </w:rPr>
            </w:pPr>
          </w:p>
        </w:tc>
      </w:tr>
    </w:tbl>
    <w:p w14:paraId="15255CE3" w14:textId="1028B58F" w:rsidR="00CE23BE" w:rsidRDefault="00CE23BE" w:rsidP="00CE23BE"/>
    <w:p w14:paraId="222B084B" w14:textId="52D61484" w:rsidR="002E35A1" w:rsidRDefault="002E35A1" w:rsidP="002E35A1">
      <w:r>
        <w:t>Cognizant Technology Solutions was founded in 1994 in the United States and initially focused on providing technology development and support services to its clients. The company grew rapidly in the late 1990s and early 2000s, expanding its operations to India in 1996 and becoming a public company in 1998 when it was listed on the NASDAQ stock exchange. Over the years, Cognizant has expanded its service offerings to include digital, technology, consulting, and operations services. The company has a global workforce of over 300,000 employees, serving clients in more than 40 countries. In recent years, Cognizant has been investing heavily in innovation and expanding its digital capabilities to better serve its clients in the evolving digital landscape. (Source: Cognizant.com)</w:t>
      </w:r>
    </w:p>
    <w:p w14:paraId="4CADB990" w14:textId="11E6DF23" w:rsidR="002E35A1" w:rsidRDefault="002E35A1" w:rsidP="002E35A1">
      <w: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w:t>
      </w:r>
      <w:r>
        <w:t xml:space="preserve"> </w:t>
      </w:r>
      <w:r>
        <w:lastRenderedPageBreak/>
        <w:t>Cognizant's ability to adapt and innovate has been key to its success in this challenging environment. (Source: McKinsey &amp; Company)</w:t>
      </w:r>
    </w:p>
    <w:p w14:paraId="04C9D970" w14:textId="3288F8EB" w:rsidR="00FA731D" w:rsidRDefault="002E35A1" w:rsidP="002E35A1">
      <w:r>
        <w:t>The IT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 (Source: Statista)</w:t>
      </w:r>
    </w:p>
    <w:p w14:paraId="76A9A300"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To determine the company value of CTSH using the Capital Asset Pricing Model (CAPM) and the Dividend Growth Model, we will need the following inputs:</w:t>
      </w:r>
    </w:p>
    <w:p w14:paraId="64DF26F1"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Current stock price of CTSH: Let's assume it is $100 per share.</w:t>
      </w:r>
    </w:p>
    <w:p w14:paraId="5FE5D3C6"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Risk-free rate of return (rf): Let's assume the risk-free rate is 2.5%.</w:t>
      </w:r>
    </w:p>
    <w:p w14:paraId="0EFA462C"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Expected market return (rm): Let's assume the expected market return is 8%.</w:t>
      </w:r>
    </w:p>
    <w:p w14:paraId="3262C766"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Beta (β) of CTSH: Let's assume the beta is 1.2.</w:t>
      </w:r>
    </w:p>
    <w:p w14:paraId="12885D7D"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payout ratio: Let's assume the company has a payout ratio of 40%.</w:t>
      </w:r>
    </w:p>
    <w:p w14:paraId="14773830"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Expected dividend growth rate: Let's assume the expected dividend growth rate is 5%.</w:t>
      </w:r>
    </w:p>
    <w:p w14:paraId="3CB3509F"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these inputs, we can calculate the company value using both the CAPM and the dividend growth model as follows:</w:t>
      </w:r>
    </w:p>
    <w:p w14:paraId="4628ACA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FA731D">
        <w:rPr>
          <w:rFonts w:ascii="Segoe UI" w:eastAsia="Times New Roman" w:hAnsi="Segoe UI" w:cs="Segoe UI"/>
          <w:b/>
          <w:bCs/>
          <w:sz w:val="30"/>
          <w:szCs w:val="30"/>
        </w:rPr>
        <w:t>CAPM</w:t>
      </w:r>
    </w:p>
    <w:p w14:paraId="2174EBD9"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The formula for the CAPM is:</w:t>
      </w:r>
    </w:p>
    <w:p w14:paraId="1D88A180"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 xml:space="preserve">r = rf + </w:t>
      </w:r>
      <w:proofErr w:type="gramStart"/>
      <w:r w:rsidRPr="00FA731D">
        <w:rPr>
          <w:rFonts w:ascii="Segoe UI" w:eastAsia="Times New Roman" w:hAnsi="Segoe UI" w:cs="Segoe UI"/>
          <w:color w:val="374151"/>
          <w:sz w:val="24"/>
          <w:szCs w:val="24"/>
        </w:rPr>
        <w:t>β(</w:t>
      </w:r>
      <w:proofErr w:type="gramEnd"/>
      <w:r w:rsidRPr="00FA731D">
        <w:rPr>
          <w:rFonts w:ascii="Segoe UI" w:eastAsia="Times New Roman" w:hAnsi="Segoe UI" w:cs="Segoe UI"/>
          <w:color w:val="374151"/>
          <w:sz w:val="24"/>
          <w:szCs w:val="24"/>
        </w:rPr>
        <w:t>rm - rf)</w:t>
      </w:r>
    </w:p>
    <w:p w14:paraId="1DA871C9"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Where:</w:t>
      </w:r>
    </w:p>
    <w:p w14:paraId="6221EE0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r = Expected return on CTSH's stock rf = Risk-free rate of return β = Beta of CTSH rm = Expected market return</w:t>
      </w:r>
    </w:p>
    <w:p w14:paraId="4AB583B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 inputs above, we can calculate the expected return on CTSH's stock as:</w:t>
      </w:r>
    </w:p>
    <w:p w14:paraId="308B0961"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r = 0.025 + 1.2(0.08 - 0.025) = 0.101</w:t>
      </w:r>
    </w:p>
    <w:p w14:paraId="60F3986A"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FA731D">
        <w:rPr>
          <w:rFonts w:ascii="Segoe UI" w:eastAsia="Times New Roman" w:hAnsi="Segoe UI" w:cs="Segoe UI"/>
          <w:color w:val="374151"/>
          <w:sz w:val="24"/>
          <w:szCs w:val="24"/>
        </w:rPr>
        <w:t>So</w:t>
      </w:r>
      <w:proofErr w:type="gramEnd"/>
      <w:r w:rsidRPr="00FA731D">
        <w:rPr>
          <w:rFonts w:ascii="Segoe UI" w:eastAsia="Times New Roman" w:hAnsi="Segoe UI" w:cs="Segoe UI"/>
          <w:color w:val="374151"/>
          <w:sz w:val="24"/>
          <w:szCs w:val="24"/>
        </w:rPr>
        <w:t xml:space="preserve"> the expected return on CTSH's stock is 10.1%.</w:t>
      </w:r>
    </w:p>
    <w:p w14:paraId="7C2B13F7"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To calculate the company value using the CAPM, we can use the following formula:</w:t>
      </w:r>
    </w:p>
    <w:p w14:paraId="1BA9D56E"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Dividend per share / (r - g)</w:t>
      </w:r>
    </w:p>
    <w:p w14:paraId="5D6DA99C"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Where:</w:t>
      </w:r>
    </w:p>
    <w:p w14:paraId="5310BEE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lastRenderedPageBreak/>
        <w:t>Dividend per share = Dividend payout ratio x Earnings per share = 0.4 x Earnings per share g = Expected dividend growth rate</w:t>
      </w:r>
    </w:p>
    <w:p w14:paraId="4478A013"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Assuming the earnings per share for CTSH is $4.00, we can calculate the dividend per share as:</w:t>
      </w:r>
    </w:p>
    <w:p w14:paraId="62A1D1EA"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per share = 0.4 x $4.00 = $1.60</w:t>
      </w:r>
    </w:p>
    <w:p w14:paraId="74FEF61D"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 inputs above, we can calculate the company value as:</w:t>
      </w:r>
    </w:p>
    <w:p w14:paraId="7434BD41"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$1.60 / (0.101 - 0.05) = $40.00</w:t>
      </w:r>
    </w:p>
    <w:p w14:paraId="264D573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FA731D">
        <w:rPr>
          <w:rFonts w:ascii="Segoe UI" w:eastAsia="Times New Roman" w:hAnsi="Segoe UI" w:cs="Segoe UI"/>
          <w:color w:val="374151"/>
          <w:sz w:val="24"/>
          <w:szCs w:val="24"/>
        </w:rPr>
        <w:t>So</w:t>
      </w:r>
      <w:proofErr w:type="gramEnd"/>
      <w:r w:rsidRPr="00FA731D">
        <w:rPr>
          <w:rFonts w:ascii="Segoe UI" w:eastAsia="Times New Roman" w:hAnsi="Segoe UI" w:cs="Segoe UI"/>
          <w:color w:val="374151"/>
          <w:sz w:val="24"/>
          <w:szCs w:val="24"/>
        </w:rPr>
        <w:t xml:space="preserve"> the company value of CTSH using the CAPM is $40.00 per share.</w:t>
      </w:r>
    </w:p>
    <w:p w14:paraId="00184C94"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FA731D">
        <w:rPr>
          <w:rFonts w:ascii="Segoe UI" w:eastAsia="Times New Roman" w:hAnsi="Segoe UI" w:cs="Segoe UI"/>
          <w:b/>
          <w:bCs/>
          <w:sz w:val="30"/>
          <w:szCs w:val="30"/>
        </w:rPr>
        <w:t>Dividend Growth Model</w:t>
      </w:r>
    </w:p>
    <w:p w14:paraId="3F3E6A96"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The formula for the Dividend Growth Model is:</w:t>
      </w:r>
    </w:p>
    <w:p w14:paraId="588BC566"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Dividend per share / (r - g)</w:t>
      </w:r>
    </w:p>
    <w:p w14:paraId="0520B76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Where:</w:t>
      </w:r>
    </w:p>
    <w:p w14:paraId="532943C9"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per share = Dividend payout ratio x Earnings per share = 0.4 x Earnings per share g = Expected dividend growth rate</w:t>
      </w:r>
    </w:p>
    <w:p w14:paraId="711A4D8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 inputs above, we can calculate the company value as:</w:t>
      </w:r>
    </w:p>
    <w:p w14:paraId="191D609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$1.60 / (0.101 - 0.05) = $40.00</w:t>
      </w:r>
    </w:p>
    <w:p w14:paraId="170FDA13"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FA731D">
        <w:rPr>
          <w:rFonts w:ascii="Segoe UI" w:eastAsia="Times New Roman" w:hAnsi="Segoe UI" w:cs="Segoe UI"/>
          <w:color w:val="374151"/>
          <w:sz w:val="24"/>
          <w:szCs w:val="24"/>
        </w:rPr>
        <w:t>So</w:t>
      </w:r>
      <w:proofErr w:type="gramEnd"/>
      <w:r w:rsidRPr="00FA731D">
        <w:rPr>
          <w:rFonts w:ascii="Segoe UI" w:eastAsia="Times New Roman" w:hAnsi="Segoe UI" w:cs="Segoe UI"/>
          <w:color w:val="374151"/>
          <w:sz w:val="24"/>
          <w:szCs w:val="24"/>
        </w:rPr>
        <w:t xml:space="preserve"> the company value of CTSH using the Dividend Growth Model is also $40.00 per share.</w:t>
      </w:r>
    </w:p>
    <w:p w14:paraId="562DD47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Therefore, both methods produce the same result and suggest that the company value of CTSH is $40.00 per share.</w:t>
      </w:r>
    </w:p>
    <w:p w14:paraId="59EFA89F" w14:textId="2CB76F34" w:rsidR="00FA731D" w:rsidRDefault="00FA731D" w:rsidP="00CE23BE"/>
    <w:p w14:paraId="1431F20A" w14:textId="469F9A1A" w:rsidR="00222157" w:rsidRDefault="00000000" w:rsidP="00CE23BE">
      <w:hyperlink r:id="rId12" w:history="1">
        <w:r w:rsidR="00222157" w:rsidRPr="002629D5">
          <w:rPr>
            <w:rStyle w:val="Hyperlink"/>
          </w:rPr>
          <w:t>http://www.worldgovernmentbonds.com/bond-historical-data/united-states/10-years/</w:t>
        </w:r>
      </w:hyperlink>
    </w:p>
    <w:p w14:paraId="560E3CE3" w14:textId="55226B40" w:rsidR="00222157" w:rsidRDefault="00222157" w:rsidP="00CE23BE">
      <w:r w:rsidRPr="00222157">
        <w:rPr>
          <w:noProof/>
        </w:rPr>
        <w:lastRenderedPageBreak/>
        <w:drawing>
          <wp:inline distT="0" distB="0" distL="0" distR="0" wp14:anchorId="7FB11E2B" wp14:editId="71A9A0A2">
            <wp:extent cx="3526257" cy="223667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3531824" cy="2240205"/>
                    </a:xfrm>
                    <a:prstGeom prst="rect">
                      <a:avLst/>
                    </a:prstGeom>
                  </pic:spPr>
                </pic:pic>
              </a:graphicData>
            </a:graphic>
          </wp:inline>
        </w:drawing>
      </w:r>
    </w:p>
    <w:p w14:paraId="50965981" w14:textId="77777777" w:rsidR="00222157" w:rsidRPr="00CE23BE" w:rsidRDefault="00222157" w:rsidP="00CE23BE"/>
    <w:sectPr w:rsidR="00222157" w:rsidRPr="00CE23BE" w:rsidSect="00EB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F205F"/>
    <w:multiLevelType w:val="multilevel"/>
    <w:tmpl w:val="040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9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BE"/>
    <w:rsid w:val="0010079E"/>
    <w:rsid w:val="00222157"/>
    <w:rsid w:val="002E35A1"/>
    <w:rsid w:val="007D15EB"/>
    <w:rsid w:val="009B092D"/>
    <w:rsid w:val="00B776E8"/>
    <w:rsid w:val="00CB2BD7"/>
    <w:rsid w:val="00CE23BE"/>
    <w:rsid w:val="00E323FA"/>
    <w:rsid w:val="00EB2C92"/>
    <w:rsid w:val="00FA731D"/>
    <w:rsid w:val="00FB46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BE4B"/>
  <w15:chartTrackingRefBased/>
  <w15:docId w15:val="{F7DB5E9D-6993-46BE-B2C6-D4AA21DA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7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3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73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31D"/>
    <w:rPr>
      <w:color w:val="0563C1" w:themeColor="hyperlink"/>
      <w:u w:val="single"/>
    </w:rPr>
  </w:style>
  <w:style w:type="character" w:styleId="UnresolvedMention">
    <w:name w:val="Unresolved Mention"/>
    <w:basedOn w:val="DefaultParagraphFont"/>
    <w:uiPriority w:val="99"/>
    <w:semiHidden/>
    <w:unhideWhenUsed/>
    <w:rsid w:val="00FA731D"/>
    <w:rPr>
      <w:color w:val="605E5C"/>
      <w:shd w:val="clear" w:color="auto" w:fill="E1DFDD"/>
    </w:rPr>
  </w:style>
  <w:style w:type="character" w:customStyle="1" w:styleId="Heading1Char">
    <w:name w:val="Heading 1 Char"/>
    <w:basedOn w:val="DefaultParagraphFont"/>
    <w:link w:val="Heading1"/>
    <w:uiPriority w:val="9"/>
    <w:rsid w:val="00FA73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7835">
      <w:bodyDiv w:val="1"/>
      <w:marLeft w:val="0"/>
      <w:marRight w:val="0"/>
      <w:marTop w:val="0"/>
      <w:marBottom w:val="0"/>
      <w:divBdr>
        <w:top w:val="none" w:sz="0" w:space="0" w:color="auto"/>
        <w:left w:val="none" w:sz="0" w:space="0" w:color="auto"/>
        <w:bottom w:val="none" w:sz="0" w:space="0" w:color="auto"/>
        <w:right w:val="none" w:sz="0" w:space="0" w:color="auto"/>
      </w:divBdr>
    </w:div>
    <w:div w:id="622881086">
      <w:bodyDiv w:val="1"/>
      <w:marLeft w:val="0"/>
      <w:marRight w:val="0"/>
      <w:marTop w:val="0"/>
      <w:marBottom w:val="0"/>
      <w:divBdr>
        <w:top w:val="none" w:sz="0" w:space="0" w:color="auto"/>
        <w:left w:val="none" w:sz="0" w:space="0" w:color="auto"/>
        <w:bottom w:val="none" w:sz="0" w:space="0" w:color="auto"/>
        <w:right w:val="none" w:sz="0" w:space="0" w:color="auto"/>
      </w:divBdr>
      <w:divsChild>
        <w:div w:id="817889910">
          <w:marLeft w:val="0"/>
          <w:marRight w:val="0"/>
          <w:marTop w:val="0"/>
          <w:marBottom w:val="0"/>
          <w:divBdr>
            <w:top w:val="none" w:sz="0" w:space="0" w:color="auto"/>
            <w:left w:val="none" w:sz="0" w:space="0" w:color="auto"/>
            <w:bottom w:val="none" w:sz="0" w:space="0" w:color="auto"/>
            <w:right w:val="none" w:sz="0" w:space="0" w:color="auto"/>
          </w:divBdr>
          <w:divsChild>
            <w:div w:id="1942838957">
              <w:marLeft w:val="0"/>
              <w:marRight w:val="0"/>
              <w:marTop w:val="0"/>
              <w:marBottom w:val="0"/>
              <w:divBdr>
                <w:top w:val="none" w:sz="0" w:space="0" w:color="auto"/>
                <w:left w:val="none" w:sz="0" w:space="0" w:color="auto"/>
                <w:bottom w:val="none" w:sz="0" w:space="0" w:color="auto"/>
                <w:right w:val="none" w:sz="0" w:space="0" w:color="auto"/>
              </w:divBdr>
              <w:divsChild>
                <w:div w:id="983855665">
                  <w:marLeft w:val="0"/>
                  <w:marRight w:val="0"/>
                  <w:marTop w:val="0"/>
                  <w:marBottom w:val="0"/>
                  <w:divBdr>
                    <w:top w:val="none" w:sz="0" w:space="0" w:color="auto"/>
                    <w:left w:val="none" w:sz="0" w:space="0" w:color="auto"/>
                    <w:bottom w:val="none" w:sz="0" w:space="0" w:color="auto"/>
                    <w:right w:val="none" w:sz="0" w:space="0" w:color="auto"/>
                  </w:divBdr>
                  <w:divsChild>
                    <w:div w:id="2128960413">
                      <w:marLeft w:val="0"/>
                      <w:marRight w:val="0"/>
                      <w:marTop w:val="0"/>
                      <w:marBottom w:val="0"/>
                      <w:divBdr>
                        <w:top w:val="none" w:sz="0" w:space="0" w:color="auto"/>
                        <w:left w:val="none" w:sz="0" w:space="0" w:color="auto"/>
                        <w:bottom w:val="none" w:sz="0" w:space="0" w:color="auto"/>
                        <w:right w:val="none" w:sz="0" w:space="0" w:color="auto"/>
                      </w:divBdr>
                      <w:divsChild>
                        <w:div w:id="1917591167">
                          <w:marLeft w:val="0"/>
                          <w:marRight w:val="0"/>
                          <w:marTop w:val="0"/>
                          <w:marBottom w:val="0"/>
                          <w:divBdr>
                            <w:top w:val="none" w:sz="0" w:space="0" w:color="auto"/>
                            <w:left w:val="none" w:sz="0" w:space="0" w:color="auto"/>
                            <w:bottom w:val="none" w:sz="0" w:space="0" w:color="auto"/>
                            <w:right w:val="none" w:sz="0" w:space="0" w:color="auto"/>
                          </w:divBdr>
                          <w:divsChild>
                            <w:div w:id="1317339496">
                              <w:marLeft w:val="0"/>
                              <w:marRight w:val="0"/>
                              <w:marTop w:val="0"/>
                              <w:marBottom w:val="0"/>
                              <w:divBdr>
                                <w:top w:val="none" w:sz="0" w:space="0" w:color="auto"/>
                                <w:left w:val="none" w:sz="0" w:space="0" w:color="auto"/>
                                <w:bottom w:val="none" w:sz="0" w:space="0" w:color="auto"/>
                                <w:right w:val="none" w:sz="0" w:space="0" w:color="auto"/>
                              </w:divBdr>
                              <w:divsChild>
                                <w:div w:id="1400129484">
                                  <w:marLeft w:val="0"/>
                                  <w:marRight w:val="0"/>
                                  <w:marTop w:val="0"/>
                                  <w:marBottom w:val="0"/>
                                  <w:divBdr>
                                    <w:top w:val="none" w:sz="0" w:space="0" w:color="auto"/>
                                    <w:left w:val="none" w:sz="0" w:space="0" w:color="auto"/>
                                    <w:bottom w:val="none" w:sz="0" w:space="0" w:color="auto"/>
                                    <w:right w:val="none" w:sz="0" w:space="0" w:color="auto"/>
                                  </w:divBdr>
                                  <w:divsChild>
                                    <w:div w:id="1138181187">
                                      <w:marLeft w:val="0"/>
                                      <w:marRight w:val="0"/>
                                      <w:marTop w:val="0"/>
                                      <w:marBottom w:val="0"/>
                                      <w:divBdr>
                                        <w:top w:val="none" w:sz="0" w:space="0" w:color="auto"/>
                                        <w:left w:val="none" w:sz="0" w:space="0" w:color="auto"/>
                                        <w:bottom w:val="none" w:sz="0" w:space="0" w:color="auto"/>
                                        <w:right w:val="none" w:sz="0" w:space="0" w:color="auto"/>
                                      </w:divBdr>
                                    </w:div>
                                  </w:divsChild>
                                </w:div>
                                <w:div w:id="161048502">
                                  <w:marLeft w:val="0"/>
                                  <w:marRight w:val="0"/>
                                  <w:marTop w:val="0"/>
                                  <w:marBottom w:val="0"/>
                                  <w:divBdr>
                                    <w:top w:val="none" w:sz="0" w:space="0" w:color="auto"/>
                                    <w:left w:val="none" w:sz="0" w:space="0" w:color="auto"/>
                                    <w:bottom w:val="none" w:sz="0" w:space="0" w:color="auto"/>
                                    <w:right w:val="none" w:sz="0" w:space="0" w:color="auto"/>
                                  </w:divBdr>
                                  <w:divsChild>
                                    <w:div w:id="205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80951">
          <w:marLeft w:val="0"/>
          <w:marRight w:val="0"/>
          <w:marTop w:val="0"/>
          <w:marBottom w:val="0"/>
          <w:divBdr>
            <w:top w:val="none" w:sz="0" w:space="0" w:color="auto"/>
            <w:left w:val="none" w:sz="0" w:space="0" w:color="auto"/>
            <w:bottom w:val="none" w:sz="0" w:space="0" w:color="auto"/>
            <w:right w:val="none" w:sz="0" w:space="0" w:color="auto"/>
          </w:divBdr>
          <w:divsChild>
            <w:div w:id="574979132">
              <w:marLeft w:val="0"/>
              <w:marRight w:val="0"/>
              <w:marTop w:val="0"/>
              <w:marBottom w:val="0"/>
              <w:divBdr>
                <w:top w:val="none" w:sz="0" w:space="0" w:color="auto"/>
                <w:left w:val="none" w:sz="0" w:space="0" w:color="auto"/>
                <w:bottom w:val="none" w:sz="0" w:space="0" w:color="auto"/>
                <w:right w:val="none" w:sz="0" w:space="0" w:color="auto"/>
              </w:divBdr>
              <w:divsChild>
                <w:div w:id="2118595135">
                  <w:marLeft w:val="0"/>
                  <w:marRight w:val="0"/>
                  <w:marTop w:val="0"/>
                  <w:marBottom w:val="0"/>
                  <w:divBdr>
                    <w:top w:val="none" w:sz="0" w:space="0" w:color="auto"/>
                    <w:left w:val="none" w:sz="0" w:space="0" w:color="auto"/>
                    <w:bottom w:val="none" w:sz="0" w:space="0" w:color="auto"/>
                    <w:right w:val="none" w:sz="0" w:space="0" w:color="auto"/>
                  </w:divBdr>
                  <w:divsChild>
                    <w:div w:id="1568151667">
                      <w:marLeft w:val="0"/>
                      <w:marRight w:val="0"/>
                      <w:marTop w:val="0"/>
                      <w:marBottom w:val="0"/>
                      <w:divBdr>
                        <w:top w:val="none" w:sz="0" w:space="0" w:color="auto"/>
                        <w:left w:val="none" w:sz="0" w:space="0" w:color="auto"/>
                        <w:bottom w:val="none" w:sz="0" w:space="0" w:color="auto"/>
                        <w:right w:val="none" w:sz="0" w:space="0" w:color="auto"/>
                      </w:divBdr>
                      <w:divsChild>
                        <w:div w:id="447899294">
                          <w:marLeft w:val="0"/>
                          <w:marRight w:val="0"/>
                          <w:marTop w:val="0"/>
                          <w:marBottom w:val="0"/>
                          <w:divBdr>
                            <w:top w:val="none" w:sz="0" w:space="0" w:color="auto"/>
                            <w:left w:val="none" w:sz="0" w:space="0" w:color="auto"/>
                            <w:bottom w:val="none" w:sz="0" w:space="0" w:color="auto"/>
                            <w:right w:val="none" w:sz="0" w:space="0" w:color="auto"/>
                          </w:divBdr>
                          <w:divsChild>
                            <w:div w:id="702512347">
                              <w:marLeft w:val="0"/>
                              <w:marRight w:val="0"/>
                              <w:marTop w:val="0"/>
                              <w:marBottom w:val="0"/>
                              <w:divBdr>
                                <w:top w:val="none" w:sz="0" w:space="0" w:color="auto"/>
                                <w:left w:val="none" w:sz="0" w:space="0" w:color="auto"/>
                                <w:bottom w:val="none" w:sz="0" w:space="0" w:color="auto"/>
                                <w:right w:val="none" w:sz="0" w:space="0" w:color="auto"/>
                              </w:divBdr>
                              <w:divsChild>
                                <w:div w:id="617487424">
                                  <w:marLeft w:val="0"/>
                                  <w:marRight w:val="0"/>
                                  <w:marTop w:val="0"/>
                                  <w:marBottom w:val="0"/>
                                  <w:divBdr>
                                    <w:top w:val="none" w:sz="0" w:space="0" w:color="auto"/>
                                    <w:left w:val="none" w:sz="0" w:space="0" w:color="auto"/>
                                    <w:bottom w:val="none" w:sz="0" w:space="0" w:color="auto"/>
                                    <w:right w:val="none" w:sz="0" w:space="0" w:color="auto"/>
                                  </w:divBdr>
                                  <w:divsChild>
                                    <w:div w:id="1667510236">
                                      <w:marLeft w:val="0"/>
                                      <w:marRight w:val="0"/>
                                      <w:marTop w:val="0"/>
                                      <w:marBottom w:val="0"/>
                                      <w:divBdr>
                                        <w:top w:val="none" w:sz="0" w:space="0" w:color="auto"/>
                                        <w:left w:val="none" w:sz="0" w:space="0" w:color="auto"/>
                                        <w:bottom w:val="none" w:sz="0" w:space="0" w:color="auto"/>
                                        <w:right w:val="none" w:sz="0" w:space="0" w:color="auto"/>
                                      </w:divBdr>
                                    </w:div>
                                  </w:divsChild>
                                </w:div>
                                <w:div w:id="1306621478">
                                  <w:marLeft w:val="0"/>
                                  <w:marRight w:val="0"/>
                                  <w:marTop w:val="0"/>
                                  <w:marBottom w:val="0"/>
                                  <w:divBdr>
                                    <w:top w:val="none" w:sz="0" w:space="0" w:color="auto"/>
                                    <w:left w:val="none" w:sz="0" w:space="0" w:color="auto"/>
                                    <w:bottom w:val="none" w:sz="0" w:space="0" w:color="auto"/>
                                    <w:right w:val="none" w:sz="0" w:space="0" w:color="auto"/>
                                  </w:divBdr>
                                  <w:divsChild>
                                    <w:div w:id="15268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41366">
          <w:marLeft w:val="0"/>
          <w:marRight w:val="0"/>
          <w:marTop w:val="0"/>
          <w:marBottom w:val="0"/>
          <w:divBdr>
            <w:top w:val="none" w:sz="0" w:space="0" w:color="auto"/>
            <w:left w:val="none" w:sz="0" w:space="0" w:color="auto"/>
            <w:bottom w:val="none" w:sz="0" w:space="0" w:color="auto"/>
            <w:right w:val="none" w:sz="0" w:space="0" w:color="auto"/>
          </w:divBdr>
          <w:divsChild>
            <w:div w:id="1745297212">
              <w:marLeft w:val="0"/>
              <w:marRight w:val="0"/>
              <w:marTop w:val="0"/>
              <w:marBottom w:val="0"/>
              <w:divBdr>
                <w:top w:val="none" w:sz="0" w:space="0" w:color="auto"/>
                <w:left w:val="none" w:sz="0" w:space="0" w:color="auto"/>
                <w:bottom w:val="none" w:sz="0" w:space="0" w:color="auto"/>
                <w:right w:val="none" w:sz="0" w:space="0" w:color="auto"/>
              </w:divBdr>
              <w:divsChild>
                <w:div w:id="1493061367">
                  <w:marLeft w:val="0"/>
                  <w:marRight w:val="0"/>
                  <w:marTop w:val="0"/>
                  <w:marBottom w:val="0"/>
                  <w:divBdr>
                    <w:top w:val="none" w:sz="0" w:space="0" w:color="auto"/>
                    <w:left w:val="none" w:sz="0" w:space="0" w:color="auto"/>
                    <w:bottom w:val="none" w:sz="0" w:space="0" w:color="auto"/>
                    <w:right w:val="none" w:sz="0" w:space="0" w:color="auto"/>
                  </w:divBdr>
                  <w:divsChild>
                    <w:div w:id="1234124026">
                      <w:marLeft w:val="0"/>
                      <w:marRight w:val="0"/>
                      <w:marTop w:val="0"/>
                      <w:marBottom w:val="0"/>
                      <w:divBdr>
                        <w:top w:val="none" w:sz="0" w:space="0" w:color="auto"/>
                        <w:left w:val="none" w:sz="0" w:space="0" w:color="auto"/>
                        <w:bottom w:val="none" w:sz="0" w:space="0" w:color="auto"/>
                        <w:right w:val="none" w:sz="0" w:space="0" w:color="auto"/>
                      </w:divBdr>
                      <w:divsChild>
                        <w:div w:id="1273367705">
                          <w:marLeft w:val="0"/>
                          <w:marRight w:val="0"/>
                          <w:marTop w:val="0"/>
                          <w:marBottom w:val="0"/>
                          <w:divBdr>
                            <w:top w:val="none" w:sz="0" w:space="0" w:color="auto"/>
                            <w:left w:val="none" w:sz="0" w:space="0" w:color="auto"/>
                            <w:bottom w:val="none" w:sz="0" w:space="0" w:color="auto"/>
                            <w:right w:val="none" w:sz="0" w:space="0" w:color="auto"/>
                          </w:divBdr>
                          <w:divsChild>
                            <w:div w:id="1437285285">
                              <w:marLeft w:val="0"/>
                              <w:marRight w:val="0"/>
                              <w:marTop w:val="0"/>
                              <w:marBottom w:val="0"/>
                              <w:divBdr>
                                <w:top w:val="none" w:sz="0" w:space="0" w:color="auto"/>
                                <w:left w:val="none" w:sz="0" w:space="0" w:color="auto"/>
                                <w:bottom w:val="none" w:sz="0" w:space="0" w:color="auto"/>
                                <w:right w:val="none" w:sz="0" w:space="0" w:color="auto"/>
                              </w:divBdr>
                              <w:divsChild>
                                <w:div w:id="1331639050">
                                  <w:marLeft w:val="0"/>
                                  <w:marRight w:val="0"/>
                                  <w:marTop w:val="0"/>
                                  <w:marBottom w:val="0"/>
                                  <w:divBdr>
                                    <w:top w:val="none" w:sz="0" w:space="0" w:color="auto"/>
                                    <w:left w:val="none" w:sz="0" w:space="0" w:color="auto"/>
                                    <w:bottom w:val="none" w:sz="0" w:space="0" w:color="auto"/>
                                    <w:right w:val="none" w:sz="0" w:space="0" w:color="auto"/>
                                  </w:divBdr>
                                  <w:divsChild>
                                    <w:div w:id="1108966584">
                                      <w:marLeft w:val="0"/>
                                      <w:marRight w:val="0"/>
                                      <w:marTop w:val="0"/>
                                      <w:marBottom w:val="0"/>
                                      <w:divBdr>
                                        <w:top w:val="none" w:sz="0" w:space="0" w:color="auto"/>
                                        <w:left w:val="none" w:sz="0" w:space="0" w:color="auto"/>
                                        <w:bottom w:val="none" w:sz="0" w:space="0" w:color="auto"/>
                                        <w:right w:val="none" w:sz="0" w:space="0" w:color="auto"/>
                                      </w:divBdr>
                                    </w:div>
                                  </w:divsChild>
                                </w:div>
                                <w:div w:id="2005081115">
                                  <w:marLeft w:val="0"/>
                                  <w:marRight w:val="0"/>
                                  <w:marTop w:val="0"/>
                                  <w:marBottom w:val="0"/>
                                  <w:divBdr>
                                    <w:top w:val="none" w:sz="0" w:space="0" w:color="auto"/>
                                    <w:left w:val="none" w:sz="0" w:space="0" w:color="auto"/>
                                    <w:bottom w:val="none" w:sz="0" w:space="0" w:color="auto"/>
                                    <w:right w:val="none" w:sz="0" w:space="0" w:color="auto"/>
                                  </w:divBdr>
                                  <w:divsChild>
                                    <w:div w:id="8193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027779">
      <w:bodyDiv w:val="1"/>
      <w:marLeft w:val="0"/>
      <w:marRight w:val="0"/>
      <w:marTop w:val="0"/>
      <w:marBottom w:val="0"/>
      <w:divBdr>
        <w:top w:val="none" w:sz="0" w:space="0" w:color="auto"/>
        <w:left w:val="none" w:sz="0" w:space="0" w:color="auto"/>
        <w:bottom w:val="none" w:sz="0" w:space="0" w:color="auto"/>
        <w:right w:val="none" w:sz="0" w:space="0" w:color="auto"/>
      </w:divBdr>
    </w:div>
    <w:div w:id="1086800875">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sChild>
        <w:div w:id="665136414">
          <w:marLeft w:val="0"/>
          <w:marRight w:val="0"/>
          <w:marTop w:val="0"/>
          <w:marBottom w:val="0"/>
          <w:divBdr>
            <w:top w:val="single" w:sz="2" w:space="0" w:color="D9D9E3"/>
            <w:left w:val="single" w:sz="2" w:space="0" w:color="D9D9E3"/>
            <w:bottom w:val="single" w:sz="2" w:space="0" w:color="D9D9E3"/>
            <w:right w:val="single" w:sz="2" w:space="0" w:color="D9D9E3"/>
          </w:divBdr>
          <w:divsChild>
            <w:div w:id="1097746385">
              <w:marLeft w:val="0"/>
              <w:marRight w:val="0"/>
              <w:marTop w:val="0"/>
              <w:marBottom w:val="0"/>
              <w:divBdr>
                <w:top w:val="single" w:sz="2" w:space="0" w:color="D9D9E3"/>
                <w:left w:val="single" w:sz="2" w:space="0" w:color="D9D9E3"/>
                <w:bottom w:val="single" w:sz="2" w:space="0" w:color="D9D9E3"/>
                <w:right w:val="single" w:sz="2" w:space="0" w:color="D9D9E3"/>
              </w:divBdr>
              <w:divsChild>
                <w:div w:id="2105566263">
                  <w:marLeft w:val="0"/>
                  <w:marRight w:val="0"/>
                  <w:marTop w:val="0"/>
                  <w:marBottom w:val="0"/>
                  <w:divBdr>
                    <w:top w:val="single" w:sz="2" w:space="0" w:color="D9D9E3"/>
                    <w:left w:val="single" w:sz="2" w:space="0" w:color="D9D9E3"/>
                    <w:bottom w:val="single" w:sz="2" w:space="0" w:color="D9D9E3"/>
                    <w:right w:val="single" w:sz="2" w:space="0" w:color="D9D9E3"/>
                  </w:divBdr>
                  <w:divsChild>
                    <w:div w:id="1732922466">
                      <w:marLeft w:val="0"/>
                      <w:marRight w:val="0"/>
                      <w:marTop w:val="0"/>
                      <w:marBottom w:val="0"/>
                      <w:divBdr>
                        <w:top w:val="single" w:sz="2" w:space="0" w:color="D9D9E3"/>
                        <w:left w:val="single" w:sz="2" w:space="0" w:color="D9D9E3"/>
                        <w:bottom w:val="single" w:sz="2" w:space="0" w:color="D9D9E3"/>
                        <w:right w:val="single" w:sz="2" w:space="0" w:color="D9D9E3"/>
                      </w:divBdr>
                      <w:divsChild>
                        <w:div w:id="181168111">
                          <w:marLeft w:val="0"/>
                          <w:marRight w:val="0"/>
                          <w:marTop w:val="0"/>
                          <w:marBottom w:val="0"/>
                          <w:divBdr>
                            <w:top w:val="single" w:sz="2" w:space="0" w:color="auto"/>
                            <w:left w:val="single" w:sz="2" w:space="0" w:color="auto"/>
                            <w:bottom w:val="single" w:sz="6" w:space="0" w:color="auto"/>
                            <w:right w:val="single" w:sz="2" w:space="0" w:color="auto"/>
                          </w:divBdr>
                          <w:divsChild>
                            <w:div w:id="85978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917972">
                                  <w:marLeft w:val="0"/>
                                  <w:marRight w:val="0"/>
                                  <w:marTop w:val="0"/>
                                  <w:marBottom w:val="0"/>
                                  <w:divBdr>
                                    <w:top w:val="single" w:sz="2" w:space="0" w:color="D9D9E3"/>
                                    <w:left w:val="single" w:sz="2" w:space="0" w:color="D9D9E3"/>
                                    <w:bottom w:val="single" w:sz="2" w:space="0" w:color="D9D9E3"/>
                                    <w:right w:val="single" w:sz="2" w:space="0" w:color="D9D9E3"/>
                                  </w:divBdr>
                                  <w:divsChild>
                                    <w:div w:id="2111392410">
                                      <w:marLeft w:val="0"/>
                                      <w:marRight w:val="0"/>
                                      <w:marTop w:val="0"/>
                                      <w:marBottom w:val="0"/>
                                      <w:divBdr>
                                        <w:top w:val="single" w:sz="2" w:space="0" w:color="D9D9E3"/>
                                        <w:left w:val="single" w:sz="2" w:space="0" w:color="D9D9E3"/>
                                        <w:bottom w:val="single" w:sz="2" w:space="0" w:color="D9D9E3"/>
                                        <w:right w:val="single" w:sz="2" w:space="0" w:color="D9D9E3"/>
                                      </w:divBdr>
                                      <w:divsChild>
                                        <w:div w:id="1297561100">
                                          <w:marLeft w:val="0"/>
                                          <w:marRight w:val="0"/>
                                          <w:marTop w:val="0"/>
                                          <w:marBottom w:val="0"/>
                                          <w:divBdr>
                                            <w:top w:val="single" w:sz="2" w:space="0" w:color="D9D9E3"/>
                                            <w:left w:val="single" w:sz="2" w:space="0" w:color="D9D9E3"/>
                                            <w:bottom w:val="single" w:sz="2" w:space="0" w:color="D9D9E3"/>
                                            <w:right w:val="single" w:sz="2" w:space="0" w:color="D9D9E3"/>
                                          </w:divBdr>
                                          <w:divsChild>
                                            <w:div w:id="104151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801976">
          <w:marLeft w:val="0"/>
          <w:marRight w:val="0"/>
          <w:marTop w:val="0"/>
          <w:marBottom w:val="0"/>
          <w:divBdr>
            <w:top w:val="none" w:sz="0" w:space="0" w:color="auto"/>
            <w:left w:val="none" w:sz="0" w:space="0" w:color="auto"/>
            <w:bottom w:val="none" w:sz="0" w:space="0" w:color="auto"/>
            <w:right w:val="none" w:sz="0" w:space="0" w:color="auto"/>
          </w:divBdr>
        </w:div>
      </w:divsChild>
    </w:div>
    <w:div w:id="189315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rable-companies.com/search?domain=https://www.cognizant.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eekingalpha.com/article/3784566-cognizant-dominant-player-in-booming-software-service-industry" TargetMode="External"/><Relationship Id="rId12" Type="http://schemas.openxmlformats.org/officeDocument/2006/relationships/hyperlink" Target="http://www.worldgovernmentbonds.com/bond-historical-data/united-states/10-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nizant.com/en_us/about/documents/q4-2022-corporate-factsheet.pdf" TargetMode="External"/><Relationship Id="rId11" Type="http://schemas.openxmlformats.org/officeDocument/2006/relationships/image" Target="media/image1.png"/><Relationship Id="rId5" Type="http://schemas.openxmlformats.org/officeDocument/2006/relationships/hyperlink" Target="https://www.cognizant.com/en_us/about/documents/q4-2022-corporate-overview.pdf" TargetMode="External"/><Relationship Id="rId15" Type="http://schemas.openxmlformats.org/officeDocument/2006/relationships/theme" Target="theme/theme1.xml"/><Relationship Id="rId10" Type="http://schemas.openxmlformats.org/officeDocument/2006/relationships/hyperlink" Target="https://corporatefinanceinstitute.com/resources/valuation/dividend-growth-rate/" TargetMode="External"/><Relationship Id="rId4" Type="http://schemas.openxmlformats.org/officeDocument/2006/relationships/webSettings" Target="webSettings.xml"/><Relationship Id="rId9" Type="http://schemas.openxmlformats.org/officeDocument/2006/relationships/hyperlink" Target="https://www.nasdaq.com/market-activity/stocks/ctsh/dividend-histor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cp:revision>
  <dcterms:created xsi:type="dcterms:W3CDTF">2023-04-03T19:42:00Z</dcterms:created>
  <dcterms:modified xsi:type="dcterms:W3CDTF">2023-04-03T19:42:00Z</dcterms:modified>
</cp:coreProperties>
</file>