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F563" w14:textId="1D3053D8" w:rsidR="00FA731D" w:rsidRDefault="00FA731D" w:rsidP="00CE23BE">
      <w:pPr>
        <w:rPr>
          <w:rFonts w:ascii="Calibri" w:eastAsia="Times New Roman" w:hAnsi="Calibri" w:cs="Calibri"/>
          <w:color w:val="000000"/>
        </w:rPr>
      </w:pPr>
      <w:r>
        <w:rPr>
          <w:rFonts w:ascii="Calibri" w:eastAsia="Times New Roman" w:hAnsi="Calibri" w:cs="Calibri"/>
          <w:color w:val="000000"/>
        </w:rPr>
        <w:fldChar w:fldCharType="begin"/>
      </w:r>
      <w:r>
        <w:rPr>
          <w:rFonts w:ascii="Calibri" w:eastAsia="Times New Roman" w:hAnsi="Calibri" w:cs="Calibri"/>
          <w:color w:val="000000"/>
        </w:rPr>
        <w:instrText xml:space="preserve"> HYPERLINK "</w:instrText>
      </w:r>
      <w:r w:rsidRPr="00FA731D">
        <w:rPr>
          <w:rFonts w:ascii="Calibri" w:eastAsia="Times New Roman" w:hAnsi="Calibri" w:cs="Calibri"/>
          <w:color w:val="000000"/>
        </w:rPr>
        <w:instrText>https://www.cognizant.com/us/en/about-cognizant</w:instrText>
      </w:r>
      <w:r>
        <w:rPr>
          <w:rFonts w:ascii="Calibri" w:eastAsia="Times New Roman" w:hAnsi="Calibri" w:cs="Calibri"/>
          <w:color w:val="000000"/>
        </w:rPr>
        <w:instrText xml:space="preserve">" </w:instrText>
      </w:r>
      <w:r>
        <w:rPr>
          <w:rFonts w:ascii="Calibri" w:eastAsia="Times New Roman" w:hAnsi="Calibri" w:cs="Calibri"/>
          <w:color w:val="000000"/>
        </w:rPr>
        <w:fldChar w:fldCharType="separate"/>
      </w:r>
      <w:r w:rsidRPr="002629D5">
        <w:rPr>
          <w:rStyle w:val="Hyperlink"/>
          <w:rFonts w:ascii="Calibri" w:eastAsia="Times New Roman" w:hAnsi="Calibri" w:cs="Calibri"/>
        </w:rPr>
        <w:t>https://www.cognizant.com/us/en/about-cognizant</w:t>
      </w:r>
      <w:r>
        <w:rPr>
          <w:rFonts w:ascii="Calibri" w:eastAsia="Times New Roman" w:hAnsi="Calibri" w:cs="Calibri"/>
          <w:color w:val="000000"/>
        </w:rPr>
        <w:fldChar w:fldCharType="end"/>
      </w:r>
    </w:p>
    <w:p w14:paraId="620D41A2" w14:textId="170D23A4" w:rsidR="00FA731D" w:rsidRDefault="00FA731D" w:rsidP="00CE23BE">
      <w:pPr>
        <w:rPr>
          <w:rFonts w:ascii="Calibri" w:eastAsia="Times New Roman" w:hAnsi="Calibri" w:cs="Calibri"/>
          <w:color w:val="000000"/>
        </w:rPr>
      </w:pPr>
      <w:hyperlink r:id="rId5" w:history="1">
        <w:r w:rsidRPr="002629D5">
          <w:rPr>
            <w:rStyle w:val="Hyperlink"/>
            <w:rFonts w:ascii="Calibri" w:eastAsia="Times New Roman" w:hAnsi="Calibri" w:cs="Calibri"/>
          </w:rPr>
          <w:t>https://www.cognizant.com/en_us/about/documents/q4-2022-corporate-overview.pdf</w:t>
        </w:r>
      </w:hyperlink>
    </w:p>
    <w:p w14:paraId="6E1D0B50" w14:textId="2C8757E3" w:rsidR="00FA731D" w:rsidRDefault="00FA731D" w:rsidP="00CE23BE">
      <w:pPr>
        <w:rPr>
          <w:rFonts w:ascii="Calibri" w:eastAsia="Times New Roman" w:hAnsi="Calibri" w:cs="Calibri"/>
          <w:color w:val="000000"/>
        </w:rPr>
      </w:pPr>
      <w:hyperlink r:id="rId6" w:history="1">
        <w:r w:rsidRPr="002629D5">
          <w:rPr>
            <w:rStyle w:val="Hyperlink"/>
            <w:rFonts w:ascii="Calibri" w:eastAsia="Times New Roman" w:hAnsi="Calibri" w:cs="Calibri"/>
          </w:rPr>
          <w:t>https://www.cognizant.com/en_us/about/documents/q4-2022-corporate-factsheet.pdf</w:t>
        </w:r>
      </w:hyperlink>
    </w:p>
    <w:p w14:paraId="5F435DCE" w14:textId="7A7BBF07" w:rsidR="009B092D" w:rsidRDefault="009B092D" w:rsidP="00CE23BE">
      <w:pPr>
        <w:rPr>
          <w:rFonts w:ascii="Calibri" w:eastAsia="Times New Roman" w:hAnsi="Calibri" w:cs="Calibri"/>
          <w:color w:val="000000"/>
        </w:rPr>
      </w:pPr>
      <w:hyperlink r:id="rId7" w:history="1">
        <w:r w:rsidRPr="002629D5">
          <w:rPr>
            <w:rStyle w:val="Hyperlink"/>
            <w:rFonts w:ascii="Calibri" w:eastAsia="Times New Roman" w:hAnsi="Calibri" w:cs="Calibri"/>
          </w:rPr>
          <w:t>https://seekingalpha.com/article/3784566-cognizant-dominant-player-in-booming-software-service-industry</w:t>
        </w:r>
      </w:hyperlink>
    </w:p>
    <w:p w14:paraId="785C5B36" w14:textId="15947AC8" w:rsidR="00FB4675" w:rsidRDefault="00FB4675" w:rsidP="00CE23BE">
      <w:pPr>
        <w:rPr>
          <w:rFonts w:ascii="Calibri" w:eastAsia="Times New Roman" w:hAnsi="Calibri" w:cs="Calibri"/>
          <w:color w:val="000000"/>
        </w:rPr>
      </w:pPr>
      <w:hyperlink r:id="rId8" w:history="1">
        <w:r w:rsidRPr="002629D5">
          <w:rPr>
            <w:rStyle w:val="Hyperlink"/>
            <w:rFonts w:ascii="Calibri" w:eastAsia="Times New Roman" w:hAnsi="Calibri" w:cs="Calibri"/>
          </w:rPr>
          <w:t>https://comparable-companies.com/search?domain=https://www.cognizant.com</w:t>
        </w:r>
      </w:hyperlink>
    </w:p>
    <w:p w14:paraId="43A4FA44" w14:textId="77777777" w:rsidR="00FA731D" w:rsidRDefault="00FA731D" w:rsidP="00CE23BE">
      <w:pPr>
        <w:rPr>
          <w:rFonts w:ascii="Calibri" w:eastAsia="Times New Roman" w:hAnsi="Calibri" w:cs="Calibri"/>
          <w:color w:val="000000"/>
        </w:rPr>
      </w:pPr>
    </w:p>
    <w:p w14:paraId="1FB2C481" w14:textId="69E67C77" w:rsidR="00FA731D" w:rsidRPr="00FA731D" w:rsidRDefault="00FA731D" w:rsidP="00FA731D">
      <w:pPr>
        <w:rPr>
          <w:rFonts w:ascii="Calibri" w:eastAsia="Times New Roman" w:hAnsi="Calibri" w:cs="Calibri"/>
          <w:color w:val="000000"/>
        </w:rPr>
      </w:pPr>
      <w:proofErr w:type="gramStart"/>
      <w:r w:rsidRPr="00FA731D">
        <w:rPr>
          <w:rFonts w:ascii="Calibri" w:eastAsia="Times New Roman" w:hAnsi="Calibri" w:cs="Calibri"/>
          <w:color w:val="000000"/>
        </w:rPr>
        <w:t>355,300</w:t>
      </w:r>
      <w:r>
        <w:rPr>
          <w:rFonts w:ascii="Calibri" w:eastAsia="Times New Roman" w:hAnsi="Calibri" w:cs="Calibri"/>
          <w:color w:val="000000"/>
        </w:rPr>
        <w:t xml:space="preserve">  </w:t>
      </w:r>
      <w:r w:rsidRPr="00FA731D">
        <w:rPr>
          <w:rFonts w:ascii="Calibri" w:eastAsia="Times New Roman" w:hAnsi="Calibri" w:cs="Calibri"/>
          <w:color w:val="000000"/>
        </w:rPr>
        <w:t>Employees</w:t>
      </w:r>
      <w:proofErr w:type="gramEnd"/>
      <w:r w:rsidRPr="00FA731D">
        <w:rPr>
          <w:rFonts w:ascii="Calibri" w:eastAsia="Times New Roman" w:hAnsi="Calibri" w:cs="Calibri"/>
          <w:color w:val="000000"/>
        </w:rPr>
        <w:t xml:space="preserve"> worldwide</w:t>
      </w:r>
    </w:p>
    <w:p w14:paraId="28293B24" w14:textId="77777777" w:rsidR="00FA731D" w:rsidRPr="00FA731D" w:rsidRDefault="00FA731D" w:rsidP="00FA731D">
      <w:pPr>
        <w:rPr>
          <w:rFonts w:ascii="Calibri" w:eastAsia="Times New Roman" w:hAnsi="Calibri" w:cs="Calibri"/>
          <w:color w:val="000000"/>
        </w:rPr>
      </w:pPr>
    </w:p>
    <w:p w14:paraId="234389EF" w14:textId="5A4D29B2" w:rsidR="00FA731D" w:rsidRPr="00FA731D" w:rsidRDefault="00FA731D" w:rsidP="00FA731D">
      <w:pPr>
        <w:rPr>
          <w:rFonts w:ascii="Calibri" w:eastAsia="Times New Roman" w:hAnsi="Calibri" w:cs="Calibri"/>
          <w:color w:val="000000"/>
        </w:rPr>
      </w:pPr>
      <w:r w:rsidRPr="00FA731D">
        <w:rPr>
          <w:rFonts w:ascii="Calibri" w:eastAsia="Times New Roman" w:hAnsi="Calibri" w:cs="Calibri"/>
          <w:color w:val="000000"/>
        </w:rPr>
        <w:t>$19.4B</w:t>
      </w:r>
      <w:r>
        <w:rPr>
          <w:rFonts w:ascii="Calibri" w:eastAsia="Times New Roman" w:hAnsi="Calibri" w:cs="Calibri"/>
          <w:color w:val="000000"/>
        </w:rPr>
        <w:t xml:space="preserve"> </w:t>
      </w:r>
      <w:r w:rsidRPr="00FA731D">
        <w:rPr>
          <w:rFonts w:ascii="Calibri" w:eastAsia="Times New Roman" w:hAnsi="Calibri" w:cs="Calibri"/>
          <w:color w:val="000000"/>
        </w:rPr>
        <w:t>Total revenue</w:t>
      </w:r>
    </w:p>
    <w:p w14:paraId="710F5E0D" w14:textId="77777777" w:rsidR="00FA731D" w:rsidRPr="00FA731D" w:rsidRDefault="00FA731D" w:rsidP="00FA731D">
      <w:pPr>
        <w:rPr>
          <w:rFonts w:ascii="Calibri" w:eastAsia="Times New Roman" w:hAnsi="Calibri" w:cs="Calibri"/>
          <w:color w:val="000000"/>
        </w:rPr>
      </w:pPr>
    </w:p>
    <w:p w14:paraId="285C1891" w14:textId="4E22840A" w:rsidR="00FA731D" w:rsidRDefault="00FA731D" w:rsidP="00FA731D">
      <w:pPr>
        <w:rPr>
          <w:rFonts w:ascii="Calibri" w:eastAsia="Times New Roman" w:hAnsi="Calibri" w:cs="Calibri"/>
          <w:color w:val="000000"/>
        </w:rPr>
      </w:pPr>
      <w:r w:rsidRPr="00FA731D">
        <w:rPr>
          <w:rFonts w:ascii="Calibri" w:eastAsia="Times New Roman" w:hAnsi="Calibri" w:cs="Calibri"/>
          <w:color w:val="000000"/>
        </w:rPr>
        <w:t>#194</w:t>
      </w:r>
      <w:r>
        <w:rPr>
          <w:rFonts w:ascii="Calibri" w:eastAsia="Times New Roman" w:hAnsi="Calibri" w:cs="Calibri"/>
          <w:color w:val="000000"/>
        </w:rPr>
        <w:t xml:space="preserve"> </w:t>
      </w:r>
      <w:r w:rsidRPr="00FA731D">
        <w:rPr>
          <w:rFonts w:ascii="Calibri" w:eastAsia="Times New Roman" w:hAnsi="Calibri" w:cs="Calibri"/>
          <w:color w:val="000000"/>
        </w:rPr>
        <w:t>2022 Fortune 500 ranking</w:t>
      </w:r>
    </w:p>
    <w:p w14:paraId="0BF9C7D4" w14:textId="77777777" w:rsidR="00FA731D" w:rsidRDefault="00FA731D" w:rsidP="00CE23BE">
      <w:pPr>
        <w:rPr>
          <w:rFonts w:ascii="Calibri" w:eastAsia="Times New Roman" w:hAnsi="Calibri" w:cs="Calibri"/>
          <w:color w:val="000000"/>
        </w:rPr>
      </w:pPr>
    </w:p>
    <w:p w14:paraId="2C216135" w14:textId="73B89A06" w:rsidR="00CE23BE" w:rsidRPr="00CE23BE" w:rsidRDefault="00CE23BE" w:rsidP="009B092D">
      <w:pPr>
        <w:jc w:val="both"/>
        <w:rPr>
          <w:rFonts w:ascii="Calibri" w:eastAsia="Times New Roman" w:hAnsi="Calibri" w:cs="Calibri"/>
          <w:color w:val="000000"/>
        </w:rPr>
      </w:pPr>
      <w:r w:rsidRPr="00CE23BE">
        <w:rPr>
          <w:rFonts w:ascii="Calibri" w:eastAsia="Times New Roman" w:hAnsi="Calibri" w:cs="Calibri"/>
          <w:color w:val="000000"/>
        </w:rPr>
        <w:t>Cognizant Technology Solutions was founded in 1994 in the United States and initially focused on providing technology development and support services to its clients. The company grew rapidly in the late 1990s and early 2000s, expanding its operations to India in 1996 and becoming a public company in 1998 when it was listed on the NASDAQ stock exchange.</w:t>
      </w:r>
    </w:p>
    <w:p w14:paraId="2D14861F" w14:textId="77777777" w:rsidR="00CE23BE" w:rsidRPr="00CE23BE" w:rsidRDefault="00CE23BE" w:rsidP="009B092D">
      <w:pPr>
        <w:jc w:val="both"/>
        <w:rPr>
          <w:rFonts w:ascii="Calibri" w:eastAsia="Times New Roman" w:hAnsi="Calibri" w:cs="Calibri"/>
          <w:color w:val="000000"/>
        </w:rPr>
      </w:pPr>
      <w:r w:rsidRPr="00CE23BE">
        <w:rPr>
          <w:rFonts w:ascii="Calibri" w:eastAsia="Times New Roman" w:hAnsi="Calibri" w:cs="Calibri"/>
          <w:color w:val="000000"/>
        </w:rPr>
        <w:t>Over the years, Cognizant has expanded its service offerings to include digital, technology, consulting, and operations services. The company has a global workforce of over 300,000 employees, serving clients in more than 40 countries. In recent years, Cognizant has been investing heavily in innovation and expanding its digital capabilities to better serve its clients in the evolving digital landscape.</w:t>
      </w:r>
    </w:p>
    <w:p w14:paraId="0F11D2F7" w14:textId="77777777" w:rsidR="00CE23BE" w:rsidRPr="00CE23BE" w:rsidRDefault="00CE23BE" w:rsidP="009B092D">
      <w:pPr>
        <w:jc w:val="both"/>
        <w:rPr>
          <w:rFonts w:ascii="Calibri" w:eastAsia="Times New Roman" w:hAnsi="Calibri" w:cs="Calibri"/>
          <w:color w:val="000000"/>
        </w:rPr>
      </w:pPr>
      <w:r w:rsidRPr="00CE23BE">
        <w:rPr>
          <w:rFonts w:ascii="Calibri" w:eastAsia="Times New Roman" w:hAnsi="Calibri" w:cs="Calibri"/>
          <w:color w:val="000000"/>
        </w:rPr>
        <w:t>The current macroeconomic environment and business cycle are favorable for Cognizant's business. The global economy is recovering from the COVID-19 pandemic, and the business cycle is in the expansion phase, leading to increased demand for digital transformation and technology services. Cognizant's ability to adapt and innovate has been key to its success in this challenging environment.</w:t>
      </w:r>
    </w:p>
    <w:p w14:paraId="0A5B88A7" w14:textId="77777777" w:rsidR="00CE23BE" w:rsidRPr="00CE23BE" w:rsidRDefault="00CE23BE" w:rsidP="009B092D">
      <w:pPr>
        <w:jc w:val="both"/>
        <w:rPr>
          <w:rFonts w:ascii="Calibri" w:eastAsia="Times New Roman" w:hAnsi="Calibri" w:cs="Calibri"/>
          <w:color w:val="000000"/>
        </w:rPr>
      </w:pPr>
      <w:r w:rsidRPr="00CE23BE">
        <w:rPr>
          <w:rFonts w:ascii="Calibri" w:eastAsia="Times New Roman" w:hAnsi="Calibri" w:cs="Calibri"/>
          <w:color w:val="000000"/>
        </w:rPr>
        <w:t>The IT industry environment is highly competitive, with numerous players competing for market share. Some of Cognizant's top competitors include Accenture, Tata Consultancy Services, IBM, Infosys, and Wipro. As of 2021, Cognizant had a market share of approximately 4.6%, trailing behind Accenture and TCS, which had market shares of 9.4% and 8.6%, respectively, according to Statista.</w:t>
      </w:r>
    </w:p>
    <w:p w14:paraId="3CA90E22" w14:textId="77777777" w:rsidR="00CE23BE" w:rsidRPr="00CE23BE" w:rsidRDefault="00CE23BE" w:rsidP="009B092D">
      <w:pPr>
        <w:jc w:val="both"/>
        <w:rPr>
          <w:rFonts w:ascii="Calibri" w:eastAsia="Times New Roman" w:hAnsi="Calibri" w:cs="Calibri"/>
          <w:color w:val="000000"/>
        </w:rPr>
      </w:pPr>
      <w:r w:rsidRPr="00CE23BE">
        <w:rPr>
          <w:rFonts w:ascii="Calibri" w:eastAsia="Times New Roman" w:hAnsi="Calibri" w:cs="Calibri"/>
          <w:color w:val="000000"/>
        </w:rPr>
        <w:t>In conclusion, Cognizant Technology Solutions has a strong history of growth and innovation in the IT industry, and its current operations remain focused on providing digital transformation solutions and services to its clients. The company operates in a highly competitive environment, but its ability to adapt and innovate has enabled it to maintain its market position. The macroeconomic environment and business cycle are currently favorable for Cognizant's business, and the company's continued investment in innovation and expansion bodes well for its future growth.</w:t>
      </w:r>
    </w:p>
    <w:p w14:paraId="3C900C63" w14:textId="77777777" w:rsidR="00CE23BE" w:rsidRPr="00CE23BE" w:rsidRDefault="00CE23BE" w:rsidP="00CE23BE">
      <w:pPr>
        <w:rPr>
          <w:rFonts w:ascii="Calibri" w:eastAsia="Times New Roman" w:hAnsi="Calibri" w:cs="Calibri"/>
          <w:color w:val="000000"/>
        </w:rPr>
      </w:pPr>
    </w:p>
    <w:p w14:paraId="7D380A3A" w14:textId="77777777" w:rsidR="00CE23BE" w:rsidRPr="00CE23BE" w:rsidRDefault="00CE23BE" w:rsidP="00CE23BE">
      <w:pPr>
        <w:rPr>
          <w:rFonts w:ascii="Calibri" w:eastAsia="Times New Roman" w:hAnsi="Calibri" w:cs="Calibri"/>
          <w:color w:val="000000"/>
        </w:rPr>
      </w:pPr>
    </w:p>
    <w:p w14:paraId="02BBF358" w14:textId="70508A90" w:rsidR="00CB2BD7" w:rsidRDefault="00CB2BD7" w:rsidP="00CE23BE"/>
    <w:p w14:paraId="5CE0BB29" w14:textId="3478EFAF" w:rsidR="00CE23BE" w:rsidRDefault="00CE23BE" w:rsidP="00CE23BE"/>
    <w:p w14:paraId="1E8FD39C" w14:textId="1E06C5C9" w:rsidR="00CE23BE" w:rsidRDefault="00FB4675" w:rsidP="00CE23BE">
      <w:r w:rsidRPr="00FB4675">
        <w:drawing>
          <wp:inline distT="0" distB="0" distL="0" distR="0" wp14:anchorId="04DE6BAB" wp14:editId="7DC7559A">
            <wp:extent cx="5731510" cy="4017010"/>
            <wp:effectExtent l="0" t="0" r="2540" b="254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
                    <a:stretch>
                      <a:fillRect/>
                    </a:stretch>
                  </pic:blipFill>
                  <pic:spPr>
                    <a:xfrm>
                      <a:off x="0" y="0"/>
                      <a:ext cx="5731510" cy="4017010"/>
                    </a:xfrm>
                    <a:prstGeom prst="rect">
                      <a:avLst/>
                    </a:prstGeom>
                  </pic:spPr>
                </pic:pic>
              </a:graphicData>
            </a:graphic>
          </wp:inline>
        </w:drawing>
      </w:r>
    </w:p>
    <w:tbl>
      <w:tblPr>
        <w:tblW w:w="9360" w:type="dxa"/>
        <w:tblLook w:val="04A0" w:firstRow="1" w:lastRow="0" w:firstColumn="1" w:lastColumn="0" w:noHBand="0" w:noVBand="1"/>
      </w:tblPr>
      <w:tblGrid>
        <w:gridCol w:w="9360"/>
      </w:tblGrid>
      <w:tr w:rsidR="00CE23BE" w:rsidRPr="00CE23BE" w14:paraId="5726800C" w14:textId="77777777" w:rsidTr="00CE23BE">
        <w:trPr>
          <w:trHeight w:val="292"/>
        </w:trPr>
        <w:tc>
          <w:tcPr>
            <w:tcW w:w="9360" w:type="dxa"/>
            <w:tcBorders>
              <w:top w:val="nil"/>
              <w:left w:val="nil"/>
              <w:bottom w:val="nil"/>
              <w:right w:val="nil"/>
            </w:tcBorders>
            <w:shd w:val="clear" w:color="auto" w:fill="auto"/>
            <w:noWrap/>
            <w:vAlign w:val="bottom"/>
            <w:hideMark/>
          </w:tcPr>
          <w:p w14:paraId="6989664D" w14:textId="77777777" w:rsidR="00CE23BE" w:rsidRPr="00CE23BE" w:rsidRDefault="00CE23BE" w:rsidP="00CE23BE">
            <w:pPr>
              <w:spacing w:after="0" w:line="240" w:lineRule="auto"/>
              <w:rPr>
                <w:rFonts w:ascii="Calibri" w:eastAsia="Times New Roman" w:hAnsi="Calibri" w:cs="Calibri"/>
                <w:color w:val="000000"/>
              </w:rPr>
            </w:pPr>
          </w:p>
        </w:tc>
      </w:tr>
    </w:tbl>
    <w:p w14:paraId="15255CE3" w14:textId="1028B58F" w:rsidR="00CE23BE" w:rsidRDefault="00CE23BE" w:rsidP="00CE23BE"/>
    <w:p w14:paraId="04C9D970" w14:textId="4EA750CA" w:rsidR="00FA731D" w:rsidRDefault="00FA731D" w:rsidP="00CE23BE"/>
    <w:p w14:paraId="03D32A95" w14:textId="57153765" w:rsidR="00FA731D" w:rsidRDefault="00FA731D" w:rsidP="00CE23BE"/>
    <w:p w14:paraId="63FB1068" w14:textId="31B14325" w:rsidR="00FA731D" w:rsidRDefault="00FA731D" w:rsidP="00CE23BE"/>
    <w:p w14:paraId="7869A25A" w14:textId="07865494" w:rsidR="00FA731D" w:rsidRDefault="00FA731D" w:rsidP="00CE23BE"/>
    <w:p w14:paraId="47676B3C" w14:textId="6589C2D9" w:rsidR="00FA731D" w:rsidRDefault="00FA731D" w:rsidP="00CE23BE"/>
    <w:p w14:paraId="7104E7CE" w14:textId="643DB608" w:rsidR="00FA731D" w:rsidRDefault="00FA731D" w:rsidP="00CE23BE"/>
    <w:p w14:paraId="2E7D35D6" w14:textId="14871FEC" w:rsidR="00FA731D" w:rsidRDefault="00FA731D" w:rsidP="00CE23BE"/>
    <w:p w14:paraId="1EE057A9" w14:textId="0194956A" w:rsidR="00FA731D" w:rsidRDefault="00FA731D" w:rsidP="00CE23BE"/>
    <w:p w14:paraId="3C34B93B" w14:textId="4DB2EF57" w:rsidR="007D15EB" w:rsidRDefault="007D15EB" w:rsidP="00CE23BE"/>
    <w:p w14:paraId="6494B8EA" w14:textId="77777777" w:rsidR="007D15EB" w:rsidRDefault="007D15EB" w:rsidP="00CE23BE"/>
    <w:p w14:paraId="6513903E" w14:textId="3A9179FC" w:rsidR="00FA731D" w:rsidRDefault="00FA731D" w:rsidP="00CE23BE"/>
    <w:p w14:paraId="7A017BC1" w14:textId="25F598B2" w:rsidR="00FA731D" w:rsidRDefault="00FA731D" w:rsidP="00CE23BE"/>
    <w:p w14:paraId="76A9A300"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lastRenderedPageBreak/>
        <w:t>To determine the company value of CTSH using the Capital Asset Pricing Model (CAPM) and the Dividend Growth Model, we will need the following inputs:</w:t>
      </w:r>
    </w:p>
    <w:p w14:paraId="64DF26F1" w14:textId="77777777" w:rsidR="00FA731D" w:rsidRPr="00FA731D" w:rsidRDefault="00FA731D" w:rsidP="00FA731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Current stock price of CTSH: Let's assume it is $100 per share.</w:t>
      </w:r>
    </w:p>
    <w:p w14:paraId="5FE5D3C6" w14:textId="77777777" w:rsidR="00FA731D" w:rsidRPr="00FA731D" w:rsidRDefault="00FA731D" w:rsidP="00FA731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Risk-free rate of return (rf): Let's assume the risk-free rate is 2.5%.</w:t>
      </w:r>
    </w:p>
    <w:p w14:paraId="0EFA462C" w14:textId="77777777" w:rsidR="00FA731D" w:rsidRPr="00FA731D" w:rsidRDefault="00FA731D" w:rsidP="00FA731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Expected market return (rm): Let's assume the expected market return is 8%.</w:t>
      </w:r>
    </w:p>
    <w:p w14:paraId="3262C766" w14:textId="77777777" w:rsidR="00FA731D" w:rsidRPr="00FA731D" w:rsidRDefault="00FA731D" w:rsidP="00FA731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Beta (β) of CTSH: Let's assume the beta is 1.2.</w:t>
      </w:r>
    </w:p>
    <w:p w14:paraId="12885D7D" w14:textId="77777777" w:rsidR="00FA731D" w:rsidRPr="00FA731D" w:rsidRDefault="00FA731D" w:rsidP="00FA731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Dividend payout ratio: Let's assume the company has a payout ratio of 40%.</w:t>
      </w:r>
    </w:p>
    <w:p w14:paraId="14773830" w14:textId="77777777" w:rsidR="00FA731D" w:rsidRPr="00FA731D" w:rsidRDefault="00FA731D" w:rsidP="00FA731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Expected dividend growth rate: Let's assume the expected dividend growth rate is 5%.</w:t>
      </w:r>
    </w:p>
    <w:p w14:paraId="3CB3509F"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Using these inputs, we can calculate the company value using both the CAPM and the dividend growth model as follows:</w:t>
      </w:r>
    </w:p>
    <w:p w14:paraId="4628ACAB"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FA731D">
        <w:rPr>
          <w:rFonts w:ascii="Segoe UI" w:eastAsia="Times New Roman" w:hAnsi="Segoe UI" w:cs="Segoe UI"/>
          <w:b/>
          <w:bCs/>
          <w:sz w:val="30"/>
          <w:szCs w:val="30"/>
        </w:rPr>
        <w:t>CAPM</w:t>
      </w:r>
    </w:p>
    <w:p w14:paraId="2174EBD9"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The formula for the CAPM is:</w:t>
      </w:r>
    </w:p>
    <w:p w14:paraId="1D88A180"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 xml:space="preserve">r = rf + </w:t>
      </w:r>
      <w:proofErr w:type="gramStart"/>
      <w:r w:rsidRPr="00FA731D">
        <w:rPr>
          <w:rFonts w:ascii="Segoe UI" w:eastAsia="Times New Roman" w:hAnsi="Segoe UI" w:cs="Segoe UI"/>
          <w:color w:val="374151"/>
          <w:sz w:val="24"/>
          <w:szCs w:val="24"/>
        </w:rPr>
        <w:t>β(</w:t>
      </w:r>
      <w:proofErr w:type="gramEnd"/>
      <w:r w:rsidRPr="00FA731D">
        <w:rPr>
          <w:rFonts w:ascii="Segoe UI" w:eastAsia="Times New Roman" w:hAnsi="Segoe UI" w:cs="Segoe UI"/>
          <w:color w:val="374151"/>
          <w:sz w:val="24"/>
          <w:szCs w:val="24"/>
        </w:rPr>
        <w:t>rm - rf)</w:t>
      </w:r>
    </w:p>
    <w:p w14:paraId="1DA871C9"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Where:</w:t>
      </w:r>
    </w:p>
    <w:p w14:paraId="6221EE08"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r = Expected return on CTSH's stock rf = Risk-free rate of return β = Beta of CTSH rm = Expected market return</w:t>
      </w:r>
    </w:p>
    <w:p w14:paraId="4AB583B8"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Using the inputs above, we can calculate the expected return on CTSH's stock as:</w:t>
      </w:r>
    </w:p>
    <w:p w14:paraId="308B0961"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r = 0.025 + 1.2(0.08 - 0.025) = 0.101</w:t>
      </w:r>
    </w:p>
    <w:p w14:paraId="60F3986A"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FA731D">
        <w:rPr>
          <w:rFonts w:ascii="Segoe UI" w:eastAsia="Times New Roman" w:hAnsi="Segoe UI" w:cs="Segoe UI"/>
          <w:color w:val="374151"/>
          <w:sz w:val="24"/>
          <w:szCs w:val="24"/>
        </w:rPr>
        <w:t>So</w:t>
      </w:r>
      <w:proofErr w:type="gramEnd"/>
      <w:r w:rsidRPr="00FA731D">
        <w:rPr>
          <w:rFonts w:ascii="Segoe UI" w:eastAsia="Times New Roman" w:hAnsi="Segoe UI" w:cs="Segoe UI"/>
          <w:color w:val="374151"/>
          <w:sz w:val="24"/>
          <w:szCs w:val="24"/>
        </w:rPr>
        <w:t xml:space="preserve"> the expected return on CTSH's stock is 10.1%.</w:t>
      </w:r>
    </w:p>
    <w:p w14:paraId="7C2B13F7"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To calculate the company value using the CAPM, we can use the following formula:</w:t>
      </w:r>
    </w:p>
    <w:p w14:paraId="1BA9D56E"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Value = Dividend per share / (r - g)</w:t>
      </w:r>
    </w:p>
    <w:p w14:paraId="5D6DA99C"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Where:</w:t>
      </w:r>
    </w:p>
    <w:p w14:paraId="5310BEE8"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Dividend per share = Dividend payout ratio x Earnings per share = 0.4 x Earnings per share g = Expected dividend growth rate</w:t>
      </w:r>
    </w:p>
    <w:p w14:paraId="4478A013"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Assuming the earnings per share for CTSH is $4.00, we can calculate the dividend per share as:</w:t>
      </w:r>
    </w:p>
    <w:p w14:paraId="62A1D1EA"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Dividend per share = 0.4 x $4.00 = $1.60</w:t>
      </w:r>
    </w:p>
    <w:p w14:paraId="74FEF61D"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lastRenderedPageBreak/>
        <w:t>Using the inputs above, we can calculate the company value as:</w:t>
      </w:r>
    </w:p>
    <w:p w14:paraId="7434BD41"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Value = $1.60 / (0.101 - 0.05) = $40.00</w:t>
      </w:r>
    </w:p>
    <w:p w14:paraId="264D573B"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FA731D">
        <w:rPr>
          <w:rFonts w:ascii="Segoe UI" w:eastAsia="Times New Roman" w:hAnsi="Segoe UI" w:cs="Segoe UI"/>
          <w:color w:val="374151"/>
          <w:sz w:val="24"/>
          <w:szCs w:val="24"/>
        </w:rPr>
        <w:t>So</w:t>
      </w:r>
      <w:proofErr w:type="gramEnd"/>
      <w:r w:rsidRPr="00FA731D">
        <w:rPr>
          <w:rFonts w:ascii="Segoe UI" w:eastAsia="Times New Roman" w:hAnsi="Segoe UI" w:cs="Segoe UI"/>
          <w:color w:val="374151"/>
          <w:sz w:val="24"/>
          <w:szCs w:val="24"/>
        </w:rPr>
        <w:t xml:space="preserve"> the company value of CTSH using the CAPM is $40.00 per share.</w:t>
      </w:r>
    </w:p>
    <w:p w14:paraId="00184C94"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FA731D">
        <w:rPr>
          <w:rFonts w:ascii="Segoe UI" w:eastAsia="Times New Roman" w:hAnsi="Segoe UI" w:cs="Segoe UI"/>
          <w:b/>
          <w:bCs/>
          <w:sz w:val="30"/>
          <w:szCs w:val="30"/>
        </w:rPr>
        <w:t>Dividend Growth Model</w:t>
      </w:r>
    </w:p>
    <w:p w14:paraId="3F3E6A96"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The formula for the Dividend Growth Model is:</w:t>
      </w:r>
    </w:p>
    <w:p w14:paraId="588BC566"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Value = Dividend per share / (r - g)</w:t>
      </w:r>
    </w:p>
    <w:p w14:paraId="0520B76B"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Where:</w:t>
      </w:r>
    </w:p>
    <w:p w14:paraId="532943C9"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Dividend per share = Dividend payout ratio x Earnings per share = 0.4 x Earnings per share g = Expected dividend growth rate</w:t>
      </w:r>
    </w:p>
    <w:p w14:paraId="711A4D88"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Using the inputs above, we can calculate the company value as:</w:t>
      </w:r>
    </w:p>
    <w:p w14:paraId="191D609B"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Value = $1.60 / (0.101 - 0.05) = $40.00</w:t>
      </w:r>
    </w:p>
    <w:p w14:paraId="170FDA13"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roofErr w:type="gramStart"/>
      <w:r w:rsidRPr="00FA731D">
        <w:rPr>
          <w:rFonts w:ascii="Segoe UI" w:eastAsia="Times New Roman" w:hAnsi="Segoe UI" w:cs="Segoe UI"/>
          <w:color w:val="374151"/>
          <w:sz w:val="24"/>
          <w:szCs w:val="24"/>
        </w:rPr>
        <w:t>So</w:t>
      </w:r>
      <w:proofErr w:type="gramEnd"/>
      <w:r w:rsidRPr="00FA731D">
        <w:rPr>
          <w:rFonts w:ascii="Segoe UI" w:eastAsia="Times New Roman" w:hAnsi="Segoe UI" w:cs="Segoe UI"/>
          <w:color w:val="374151"/>
          <w:sz w:val="24"/>
          <w:szCs w:val="24"/>
        </w:rPr>
        <w:t xml:space="preserve"> the company value of CTSH using the Dividend Growth Model is also $40.00 per share.</w:t>
      </w:r>
    </w:p>
    <w:p w14:paraId="562DD47B" w14:textId="77777777" w:rsidR="00FA731D" w:rsidRPr="00FA731D" w:rsidRDefault="00FA731D" w:rsidP="00FA731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FA731D">
        <w:rPr>
          <w:rFonts w:ascii="Segoe UI" w:eastAsia="Times New Roman" w:hAnsi="Segoe UI" w:cs="Segoe UI"/>
          <w:color w:val="374151"/>
          <w:sz w:val="24"/>
          <w:szCs w:val="24"/>
        </w:rPr>
        <w:t>Therefore, both methods produce the same result and suggest that the company value of CTSH is $40.00 per share.</w:t>
      </w:r>
    </w:p>
    <w:p w14:paraId="59EFA89F" w14:textId="2CB76F34" w:rsidR="00FA731D" w:rsidRDefault="00FA731D" w:rsidP="00CE23BE"/>
    <w:p w14:paraId="1431F20A" w14:textId="469F9A1A" w:rsidR="00222157" w:rsidRDefault="00222157" w:rsidP="00CE23BE">
      <w:hyperlink r:id="rId10" w:history="1">
        <w:r w:rsidRPr="002629D5">
          <w:rPr>
            <w:rStyle w:val="Hyperlink"/>
          </w:rPr>
          <w:t>http://www.worldgovernmentbonds.com/bond-historical-data/united-states/10-years/</w:t>
        </w:r>
      </w:hyperlink>
    </w:p>
    <w:p w14:paraId="1CEBDB53" w14:textId="1384506E" w:rsidR="00222157" w:rsidRDefault="00222157" w:rsidP="00CE23BE">
      <w:r w:rsidRPr="00222157">
        <w:drawing>
          <wp:inline distT="0" distB="0" distL="0" distR="0" wp14:anchorId="7FB11E2B" wp14:editId="71A9A0A2">
            <wp:extent cx="3526257" cy="2236674"/>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1"/>
                    <a:stretch>
                      <a:fillRect/>
                    </a:stretch>
                  </pic:blipFill>
                  <pic:spPr>
                    <a:xfrm>
                      <a:off x="0" y="0"/>
                      <a:ext cx="3531824" cy="2240205"/>
                    </a:xfrm>
                    <a:prstGeom prst="rect">
                      <a:avLst/>
                    </a:prstGeom>
                  </pic:spPr>
                </pic:pic>
              </a:graphicData>
            </a:graphic>
          </wp:inline>
        </w:drawing>
      </w:r>
    </w:p>
    <w:p w14:paraId="560E3CE3" w14:textId="6405E105" w:rsidR="00222157" w:rsidRDefault="00222157" w:rsidP="00CE23BE">
      <w:proofErr w:type="spellStart"/>
      <w:r>
        <w:t>Infkation</w:t>
      </w:r>
      <w:proofErr w:type="spellEnd"/>
      <w:r>
        <w:t xml:space="preserve"> rate</w:t>
      </w:r>
    </w:p>
    <w:p w14:paraId="50965981" w14:textId="77777777" w:rsidR="00222157" w:rsidRPr="00CE23BE" w:rsidRDefault="00222157" w:rsidP="00CE23BE"/>
    <w:sectPr w:rsidR="00222157" w:rsidRPr="00CE23BE" w:rsidSect="00EB2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F205F"/>
    <w:multiLevelType w:val="multilevel"/>
    <w:tmpl w:val="0406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69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BE"/>
    <w:rsid w:val="0010079E"/>
    <w:rsid w:val="00222157"/>
    <w:rsid w:val="007D15EB"/>
    <w:rsid w:val="009B092D"/>
    <w:rsid w:val="00CB2BD7"/>
    <w:rsid w:val="00CE23BE"/>
    <w:rsid w:val="00EB2C92"/>
    <w:rsid w:val="00FA731D"/>
    <w:rsid w:val="00FB467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BE4B"/>
  <w15:chartTrackingRefBased/>
  <w15:docId w15:val="{F7DB5E9D-6993-46BE-B2C6-D4AA21DA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A73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73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73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731D"/>
    <w:rPr>
      <w:color w:val="0563C1" w:themeColor="hyperlink"/>
      <w:u w:val="single"/>
    </w:rPr>
  </w:style>
  <w:style w:type="character" w:styleId="UnresolvedMention">
    <w:name w:val="Unresolved Mention"/>
    <w:basedOn w:val="DefaultParagraphFont"/>
    <w:uiPriority w:val="99"/>
    <w:semiHidden/>
    <w:unhideWhenUsed/>
    <w:rsid w:val="00FA731D"/>
    <w:rPr>
      <w:color w:val="605E5C"/>
      <w:shd w:val="clear" w:color="auto" w:fill="E1DFDD"/>
    </w:rPr>
  </w:style>
  <w:style w:type="character" w:customStyle="1" w:styleId="Heading1Char">
    <w:name w:val="Heading 1 Char"/>
    <w:basedOn w:val="DefaultParagraphFont"/>
    <w:link w:val="Heading1"/>
    <w:uiPriority w:val="9"/>
    <w:rsid w:val="00FA73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87835">
      <w:bodyDiv w:val="1"/>
      <w:marLeft w:val="0"/>
      <w:marRight w:val="0"/>
      <w:marTop w:val="0"/>
      <w:marBottom w:val="0"/>
      <w:divBdr>
        <w:top w:val="none" w:sz="0" w:space="0" w:color="auto"/>
        <w:left w:val="none" w:sz="0" w:space="0" w:color="auto"/>
        <w:bottom w:val="none" w:sz="0" w:space="0" w:color="auto"/>
        <w:right w:val="none" w:sz="0" w:space="0" w:color="auto"/>
      </w:divBdr>
    </w:div>
    <w:div w:id="622881086">
      <w:bodyDiv w:val="1"/>
      <w:marLeft w:val="0"/>
      <w:marRight w:val="0"/>
      <w:marTop w:val="0"/>
      <w:marBottom w:val="0"/>
      <w:divBdr>
        <w:top w:val="none" w:sz="0" w:space="0" w:color="auto"/>
        <w:left w:val="none" w:sz="0" w:space="0" w:color="auto"/>
        <w:bottom w:val="none" w:sz="0" w:space="0" w:color="auto"/>
        <w:right w:val="none" w:sz="0" w:space="0" w:color="auto"/>
      </w:divBdr>
      <w:divsChild>
        <w:div w:id="817889910">
          <w:marLeft w:val="0"/>
          <w:marRight w:val="0"/>
          <w:marTop w:val="0"/>
          <w:marBottom w:val="0"/>
          <w:divBdr>
            <w:top w:val="none" w:sz="0" w:space="0" w:color="auto"/>
            <w:left w:val="none" w:sz="0" w:space="0" w:color="auto"/>
            <w:bottom w:val="none" w:sz="0" w:space="0" w:color="auto"/>
            <w:right w:val="none" w:sz="0" w:space="0" w:color="auto"/>
          </w:divBdr>
          <w:divsChild>
            <w:div w:id="1942838957">
              <w:marLeft w:val="0"/>
              <w:marRight w:val="0"/>
              <w:marTop w:val="0"/>
              <w:marBottom w:val="0"/>
              <w:divBdr>
                <w:top w:val="none" w:sz="0" w:space="0" w:color="auto"/>
                <w:left w:val="none" w:sz="0" w:space="0" w:color="auto"/>
                <w:bottom w:val="none" w:sz="0" w:space="0" w:color="auto"/>
                <w:right w:val="none" w:sz="0" w:space="0" w:color="auto"/>
              </w:divBdr>
              <w:divsChild>
                <w:div w:id="983855665">
                  <w:marLeft w:val="0"/>
                  <w:marRight w:val="0"/>
                  <w:marTop w:val="0"/>
                  <w:marBottom w:val="0"/>
                  <w:divBdr>
                    <w:top w:val="none" w:sz="0" w:space="0" w:color="auto"/>
                    <w:left w:val="none" w:sz="0" w:space="0" w:color="auto"/>
                    <w:bottom w:val="none" w:sz="0" w:space="0" w:color="auto"/>
                    <w:right w:val="none" w:sz="0" w:space="0" w:color="auto"/>
                  </w:divBdr>
                  <w:divsChild>
                    <w:div w:id="2128960413">
                      <w:marLeft w:val="0"/>
                      <w:marRight w:val="0"/>
                      <w:marTop w:val="0"/>
                      <w:marBottom w:val="0"/>
                      <w:divBdr>
                        <w:top w:val="none" w:sz="0" w:space="0" w:color="auto"/>
                        <w:left w:val="none" w:sz="0" w:space="0" w:color="auto"/>
                        <w:bottom w:val="none" w:sz="0" w:space="0" w:color="auto"/>
                        <w:right w:val="none" w:sz="0" w:space="0" w:color="auto"/>
                      </w:divBdr>
                      <w:divsChild>
                        <w:div w:id="1917591167">
                          <w:marLeft w:val="0"/>
                          <w:marRight w:val="0"/>
                          <w:marTop w:val="0"/>
                          <w:marBottom w:val="0"/>
                          <w:divBdr>
                            <w:top w:val="none" w:sz="0" w:space="0" w:color="auto"/>
                            <w:left w:val="none" w:sz="0" w:space="0" w:color="auto"/>
                            <w:bottom w:val="none" w:sz="0" w:space="0" w:color="auto"/>
                            <w:right w:val="none" w:sz="0" w:space="0" w:color="auto"/>
                          </w:divBdr>
                          <w:divsChild>
                            <w:div w:id="1317339496">
                              <w:marLeft w:val="0"/>
                              <w:marRight w:val="0"/>
                              <w:marTop w:val="0"/>
                              <w:marBottom w:val="0"/>
                              <w:divBdr>
                                <w:top w:val="none" w:sz="0" w:space="0" w:color="auto"/>
                                <w:left w:val="none" w:sz="0" w:space="0" w:color="auto"/>
                                <w:bottom w:val="none" w:sz="0" w:space="0" w:color="auto"/>
                                <w:right w:val="none" w:sz="0" w:space="0" w:color="auto"/>
                              </w:divBdr>
                              <w:divsChild>
                                <w:div w:id="1400129484">
                                  <w:marLeft w:val="0"/>
                                  <w:marRight w:val="0"/>
                                  <w:marTop w:val="0"/>
                                  <w:marBottom w:val="0"/>
                                  <w:divBdr>
                                    <w:top w:val="none" w:sz="0" w:space="0" w:color="auto"/>
                                    <w:left w:val="none" w:sz="0" w:space="0" w:color="auto"/>
                                    <w:bottom w:val="none" w:sz="0" w:space="0" w:color="auto"/>
                                    <w:right w:val="none" w:sz="0" w:space="0" w:color="auto"/>
                                  </w:divBdr>
                                  <w:divsChild>
                                    <w:div w:id="1138181187">
                                      <w:marLeft w:val="0"/>
                                      <w:marRight w:val="0"/>
                                      <w:marTop w:val="0"/>
                                      <w:marBottom w:val="0"/>
                                      <w:divBdr>
                                        <w:top w:val="none" w:sz="0" w:space="0" w:color="auto"/>
                                        <w:left w:val="none" w:sz="0" w:space="0" w:color="auto"/>
                                        <w:bottom w:val="none" w:sz="0" w:space="0" w:color="auto"/>
                                        <w:right w:val="none" w:sz="0" w:space="0" w:color="auto"/>
                                      </w:divBdr>
                                    </w:div>
                                  </w:divsChild>
                                </w:div>
                                <w:div w:id="161048502">
                                  <w:marLeft w:val="0"/>
                                  <w:marRight w:val="0"/>
                                  <w:marTop w:val="0"/>
                                  <w:marBottom w:val="0"/>
                                  <w:divBdr>
                                    <w:top w:val="none" w:sz="0" w:space="0" w:color="auto"/>
                                    <w:left w:val="none" w:sz="0" w:space="0" w:color="auto"/>
                                    <w:bottom w:val="none" w:sz="0" w:space="0" w:color="auto"/>
                                    <w:right w:val="none" w:sz="0" w:space="0" w:color="auto"/>
                                  </w:divBdr>
                                  <w:divsChild>
                                    <w:div w:id="205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380951">
          <w:marLeft w:val="0"/>
          <w:marRight w:val="0"/>
          <w:marTop w:val="0"/>
          <w:marBottom w:val="0"/>
          <w:divBdr>
            <w:top w:val="none" w:sz="0" w:space="0" w:color="auto"/>
            <w:left w:val="none" w:sz="0" w:space="0" w:color="auto"/>
            <w:bottom w:val="none" w:sz="0" w:space="0" w:color="auto"/>
            <w:right w:val="none" w:sz="0" w:space="0" w:color="auto"/>
          </w:divBdr>
          <w:divsChild>
            <w:div w:id="574979132">
              <w:marLeft w:val="0"/>
              <w:marRight w:val="0"/>
              <w:marTop w:val="0"/>
              <w:marBottom w:val="0"/>
              <w:divBdr>
                <w:top w:val="none" w:sz="0" w:space="0" w:color="auto"/>
                <w:left w:val="none" w:sz="0" w:space="0" w:color="auto"/>
                <w:bottom w:val="none" w:sz="0" w:space="0" w:color="auto"/>
                <w:right w:val="none" w:sz="0" w:space="0" w:color="auto"/>
              </w:divBdr>
              <w:divsChild>
                <w:div w:id="2118595135">
                  <w:marLeft w:val="0"/>
                  <w:marRight w:val="0"/>
                  <w:marTop w:val="0"/>
                  <w:marBottom w:val="0"/>
                  <w:divBdr>
                    <w:top w:val="none" w:sz="0" w:space="0" w:color="auto"/>
                    <w:left w:val="none" w:sz="0" w:space="0" w:color="auto"/>
                    <w:bottom w:val="none" w:sz="0" w:space="0" w:color="auto"/>
                    <w:right w:val="none" w:sz="0" w:space="0" w:color="auto"/>
                  </w:divBdr>
                  <w:divsChild>
                    <w:div w:id="1568151667">
                      <w:marLeft w:val="0"/>
                      <w:marRight w:val="0"/>
                      <w:marTop w:val="0"/>
                      <w:marBottom w:val="0"/>
                      <w:divBdr>
                        <w:top w:val="none" w:sz="0" w:space="0" w:color="auto"/>
                        <w:left w:val="none" w:sz="0" w:space="0" w:color="auto"/>
                        <w:bottom w:val="none" w:sz="0" w:space="0" w:color="auto"/>
                        <w:right w:val="none" w:sz="0" w:space="0" w:color="auto"/>
                      </w:divBdr>
                      <w:divsChild>
                        <w:div w:id="447899294">
                          <w:marLeft w:val="0"/>
                          <w:marRight w:val="0"/>
                          <w:marTop w:val="0"/>
                          <w:marBottom w:val="0"/>
                          <w:divBdr>
                            <w:top w:val="none" w:sz="0" w:space="0" w:color="auto"/>
                            <w:left w:val="none" w:sz="0" w:space="0" w:color="auto"/>
                            <w:bottom w:val="none" w:sz="0" w:space="0" w:color="auto"/>
                            <w:right w:val="none" w:sz="0" w:space="0" w:color="auto"/>
                          </w:divBdr>
                          <w:divsChild>
                            <w:div w:id="702512347">
                              <w:marLeft w:val="0"/>
                              <w:marRight w:val="0"/>
                              <w:marTop w:val="0"/>
                              <w:marBottom w:val="0"/>
                              <w:divBdr>
                                <w:top w:val="none" w:sz="0" w:space="0" w:color="auto"/>
                                <w:left w:val="none" w:sz="0" w:space="0" w:color="auto"/>
                                <w:bottom w:val="none" w:sz="0" w:space="0" w:color="auto"/>
                                <w:right w:val="none" w:sz="0" w:space="0" w:color="auto"/>
                              </w:divBdr>
                              <w:divsChild>
                                <w:div w:id="617487424">
                                  <w:marLeft w:val="0"/>
                                  <w:marRight w:val="0"/>
                                  <w:marTop w:val="0"/>
                                  <w:marBottom w:val="0"/>
                                  <w:divBdr>
                                    <w:top w:val="none" w:sz="0" w:space="0" w:color="auto"/>
                                    <w:left w:val="none" w:sz="0" w:space="0" w:color="auto"/>
                                    <w:bottom w:val="none" w:sz="0" w:space="0" w:color="auto"/>
                                    <w:right w:val="none" w:sz="0" w:space="0" w:color="auto"/>
                                  </w:divBdr>
                                  <w:divsChild>
                                    <w:div w:id="1667510236">
                                      <w:marLeft w:val="0"/>
                                      <w:marRight w:val="0"/>
                                      <w:marTop w:val="0"/>
                                      <w:marBottom w:val="0"/>
                                      <w:divBdr>
                                        <w:top w:val="none" w:sz="0" w:space="0" w:color="auto"/>
                                        <w:left w:val="none" w:sz="0" w:space="0" w:color="auto"/>
                                        <w:bottom w:val="none" w:sz="0" w:space="0" w:color="auto"/>
                                        <w:right w:val="none" w:sz="0" w:space="0" w:color="auto"/>
                                      </w:divBdr>
                                    </w:div>
                                  </w:divsChild>
                                </w:div>
                                <w:div w:id="1306621478">
                                  <w:marLeft w:val="0"/>
                                  <w:marRight w:val="0"/>
                                  <w:marTop w:val="0"/>
                                  <w:marBottom w:val="0"/>
                                  <w:divBdr>
                                    <w:top w:val="none" w:sz="0" w:space="0" w:color="auto"/>
                                    <w:left w:val="none" w:sz="0" w:space="0" w:color="auto"/>
                                    <w:bottom w:val="none" w:sz="0" w:space="0" w:color="auto"/>
                                    <w:right w:val="none" w:sz="0" w:space="0" w:color="auto"/>
                                  </w:divBdr>
                                  <w:divsChild>
                                    <w:div w:id="15268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641366">
          <w:marLeft w:val="0"/>
          <w:marRight w:val="0"/>
          <w:marTop w:val="0"/>
          <w:marBottom w:val="0"/>
          <w:divBdr>
            <w:top w:val="none" w:sz="0" w:space="0" w:color="auto"/>
            <w:left w:val="none" w:sz="0" w:space="0" w:color="auto"/>
            <w:bottom w:val="none" w:sz="0" w:space="0" w:color="auto"/>
            <w:right w:val="none" w:sz="0" w:space="0" w:color="auto"/>
          </w:divBdr>
          <w:divsChild>
            <w:div w:id="1745297212">
              <w:marLeft w:val="0"/>
              <w:marRight w:val="0"/>
              <w:marTop w:val="0"/>
              <w:marBottom w:val="0"/>
              <w:divBdr>
                <w:top w:val="none" w:sz="0" w:space="0" w:color="auto"/>
                <w:left w:val="none" w:sz="0" w:space="0" w:color="auto"/>
                <w:bottom w:val="none" w:sz="0" w:space="0" w:color="auto"/>
                <w:right w:val="none" w:sz="0" w:space="0" w:color="auto"/>
              </w:divBdr>
              <w:divsChild>
                <w:div w:id="1493061367">
                  <w:marLeft w:val="0"/>
                  <w:marRight w:val="0"/>
                  <w:marTop w:val="0"/>
                  <w:marBottom w:val="0"/>
                  <w:divBdr>
                    <w:top w:val="none" w:sz="0" w:space="0" w:color="auto"/>
                    <w:left w:val="none" w:sz="0" w:space="0" w:color="auto"/>
                    <w:bottom w:val="none" w:sz="0" w:space="0" w:color="auto"/>
                    <w:right w:val="none" w:sz="0" w:space="0" w:color="auto"/>
                  </w:divBdr>
                  <w:divsChild>
                    <w:div w:id="1234124026">
                      <w:marLeft w:val="0"/>
                      <w:marRight w:val="0"/>
                      <w:marTop w:val="0"/>
                      <w:marBottom w:val="0"/>
                      <w:divBdr>
                        <w:top w:val="none" w:sz="0" w:space="0" w:color="auto"/>
                        <w:left w:val="none" w:sz="0" w:space="0" w:color="auto"/>
                        <w:bottom w:val="none" w:sz="0" w:space="0" w:color="auto"/>
                        <w:right w:val="none" w:sz="0" w:space="0" w:color="auto"/>
                      </w:divBdr>
                      <w:divsChild>
                        <w:div w:id="1273367705">
                          <w:marLeft w:val="0"/>
                          <w:marRight w:val="0"/>
                          <w:marTop w:val="0"/>
                          <w:marBottom w:val="0"/>
                          <w:divBdr>
                            <w:top w:val="none" w:sz="0" w:space="0" w:color="auto"/>
                            <w:left w:val="none" w:sz="0" w:space="0" w:color="auto"/>
                            <w:bottom w:val="none" w:sz="0" w:space="0" w:color="auto"/>
                            <w:right w:val="none" w:sz="0" w:space="0" w:color="auto"/>
                          </w:divBdr>
                          <w:divsChild>
                            <w:div w:id="1437285285">
                              <w:marLeft w:val="0"/>
                              <w:marRight w:val="0"/>
                              <w:marTop w:val="0"/>
                              <w:marBottom w:val="0"/>
                              <w:divBdr>
                                <w:top w:val="none" w:sz="0" w:space="0" w:color="auto"/>
                                <w:left w:val="none" w:sz="0" w:space="0" w:color="auto"/>
                                <w:bottom w:val="none" w:sz="0" w:space="0" w:color="auto"/>
                                <w:right w:val="none" w:sz="0" w:space="0" w:color="auto"/>
                              </w:divBdr>
                              <w:divsChild>
                                <w:div w:id="1331639050">
                                  <w:marLeft w:val="0"/>
                                  <w:marRight w:val="0"/>
                                  <w:marTop w:val="0"/>
                                  <w:marBottom w:val="0"/>
                                  <w:divBdr>
                                    <w:top w:val="none" w:sz="0" w:space="0" w:color="auto"/>
                                    <w:left w:val="none" w:sz="0" w:space="0" w:color="auto"/>
                                    <w:bottom w:val="none" w:sz="0" w:space="0" w:color="auto"/>
                                    <w:right w:val="none" w:sz="0" w:space="0" w:color="auto"/>
                                  </w:divBdr>
                                  <w:divsChild>
                                    <w:div w:id="1108966584">
                                      <w:marLeft w:val="0"/>
                                      <w:marRight w:val="0"/>
                                      <w:marTop w:val="0"/>
                                      <w:marBottom w:val="0"/>
                                      <w:divBdr>
                                        <w:top w:val="none" w:sz="0" w:space="0" w:color="auto"/>
                                        <w:left w:val="none" w:sz="0" w:space="0" w:color="auto"/>
                                        <w:bottom w:val="none" w:sz="0" w:space="0" w:color="auto"/>
                                        <w:right w:val="none" w:sz="0" w:space="0" w:color="auto"/>
                                      </w:divBdr>
                                    </w:div>
                                  </w:divsChild>
                                </w:div>
                                <w:div w:id="2005081115">
                                  <w:marLeft w:val="0"/>
                                  <w:marRight w:val="0"/>
                                  <w:marTop w:val="0"/>
                                  <w:marBottom w:val="0"/>
                                  <w:divBdr>
                                    <w:top w:val="none" w:sz="0" w:space="0" w:color="auto"/>
                                    <w:left w:val="none" w:sz="0" w:space="0" w:color="auto"/>
                                    <w:bottom w:val="none" w:sz="0" w:space="0" w:color="auto"/>
                                    <w:right w:val="none" w:sz="0" w:space="0" w:color="auto"/>
                                  </w:divBdr>
                                  <w:divsChild>
                                    <w:div w:id="81934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027779">
      <w:bodyDiv w:val="1"/>
      <w:marLeft w:val="0"/>
      <w:marRight w:val="0"/>
      <w:marTop w:val="0"/>
      <w:marBottom w:val="0"/>
      <w:divBdr>
        <w:top w:val="none" w:sz="0" w:space="0" w:color="auto"/>
        <w:left w:val="none" w:sz="0" w:space="0" w:color="auto"/>
        <w:bottom w:val="none" w:sz="0" w:space="0" w:color="auto"/>
        <w:right w:val="none" w:sz="0" w:space="0" w:color="auto"/>
      </w:divBdr>
    </w:div>
    <w:div w:id="1086800875">
      <w:bodyDiv w:val="1"/>
      <w:marLeft w:val="0"/>
      <w:marRight w:val="0"/>
      <w:marTop w:val="0"/>
      <w:marBottom w:val="0"/>
      <w:divBdr>
        <w:top w:val="none" w:sz="0" w:space="0" w:color="auto"/>
        <w:left w:val="none" w:sz="0" w:space="0" w:color="auto"/>
        <w:bottom w:val="none" w:sz="0" w:space="0" w:color="auto"/>
        <w:right w:val="none" w:sz="0" w:space="0" w:color="auto"/>
      </w:divBdr>
    </w:div>
    <w:div w:id="1189879869">
      <w:bodyDiv w:val="1"/>
      <w:marLeft w:val="0"/>
      <w:marRight w:val="0"/>
      <w:marTop w:val="0"/>
      <w:marBottom w:val="0"/>
      <w:divBdr>
        <w:top w:val="none" w:sz="0" w:space="0" w:color="auto"/>
        <w:left w:val="none" w:sz="0" w:space="0" w:color="auto"/>
        <w:bottom w:val="none" w:sz="0" w:space="0" w:color="auto"/>
        <w:right w:val="none" w:sz="0" w:space="0" w:color="auto"/>
      </w:divBdr>
      <w:divsChild>
        <w:div w:id="665136414">
          <w:marLeft w:val="0"/>
          <w:marRight w:val="0"/>
          <w:marTop w:val="0"/>
          <w:marBottom w:val="0"/>
          <w:divBdr>
            <w:top w:val="single" w:sz="2" w:space="0" w:color="D9D9E3"/>
            <w:left w:val="single" w:sz="2" w:space="0" w:color="D9D9E3"/>
            <w:bottom w:val="single" w:sz="2" w:space="0" w:color="D9D9E3"/>
            <w:right w:val="single" w:sz="2" w:space="0" w:color="D9D9E3"/>
          </w:divBdr>
          <w:divsChild>
            <w:div w:id="1097746385">
              <w:marLeft w:val="0"/>
              <w:marRight w:val="0"/>
              <w:marTop w:val="0"/>
              <w:marBottom w:val="0"/>
              <w:divBdr>
                <w:top w:val="single" w:sz="2" w:space="0" w:color="D9D9E3"/>
                <w:left w:val="single" w:sz="2" w:space="0" w:color="D9D9E3"/>
                <w:bottom w:val="single" w:sz="2" w:space="0" w:color="D9D9E3"/>
                <w:right w:val="single" w:sz="2" w:space="0" w:color="D9D9E3"/>
              </w:divBdr>
              <w:divsChild>
                <w:div w:id="2105566263">
                  <w:marLeft w:val="0"/>
                  <w:marRight w:val="0"/>
                  <w:marTop w:val="0"/>
                  <w:marBottom w:val="0"/>
                  <w:divBdr>
                    <w:top w:val="single" w:sz="2" w:space="0" w:color="D9D9E3"/>
                    <w:left w:val="single" w:sz="2" w:space="0" w:color="D9D9E3"/>
                    <w:bottom w:val="single" w:sz="2" w:space="0" w:color="D9D9E3"/>
                    <w:right w:val="single" w:sz="2" w:space="0" w:color="D9D9E3"/>
                  </w:divBdr>
                  <w:divsChild>
                    <w:div w:id="1732922466">
                      <w:marLeft w:val="0"/>
                      <w:marRight w:val="0"/>
                      <w:marTop w:val="0"/>
                      <w:marBottom w:val="0"/>
                      <w:divBdr>
                        <w:top w:val="single" w:sz="2" w:space="0" w:color="D9D9E3"/>
                        <w:left w:val="single" w:sz="2" w:space="0" w:color="D9D9E3"/>
                        <w:bottom w:val="single" w:sz="2" w:space="0" w:color="D9D9E3"/>
                        <w:right w:val="single" w:sz="2" w:space="0" w:color="D9D9E3"/>
                      </w:divBdr>
                      <w:divsChild>
                        <w:div w:id="181168111">
                          <w:marLeft w:val="0"/>
                          <w:marRight w:val="0"/>
                          <w:marTop w:val="0"/>
                          <w:marBottom w:val="0"/>
                          <w:divBdr>
                            <w:top w:val="single" w:sz="2" w:space="0" w:color="auto"/>
                            <w:left w:val="single" w:sz="2" w:space="0" w:color="auto"/>
                            <w:bottom w:val="single" w:sz="6" w:space="0" w:color="auto"/>
                            <w:right w:val="single" w:sz="2" w:space="0" w:color="auto"/>
                          </w:divBdr>
                          <w:divsChild>
                            <w:div w:id="859783590">
                              <w:marLeft w:val="0"/>
                              <w:marRight w:val="0"/>
                              <w:marTop w:val="100"/>
                              <w:marBottom w:val="100"/>
                              <w:divBdr>
                                <w:top w:val="single" w:sz="2" w:space="0" w:color="D9D9E3"/>
                                <w:left w:val="single" w:sz="2" w:space="0" w:color="D9D9E3"/>
                                <w:bottom w:val="single" w:sz="2" w:space="0" w:color="D9D9E3"/>
                                <w:right w:val="single" w:sz="2" w:space="0" w:color="D9D9E3"/>
                              </w:divBdr>
                              <w:divsChild>
                                <w:div w:id="402917972">
                                  <w:marLeft w:val="0"/>
                                  <w:marRight w:val="0"/>
                                  <w:marTop w:val="0"/>
                                  <w:marBottom w:val="0"/>
                                  <w:divBdr>
                                    <w:top w:val="single" w:sz="2" w:space="0" w:color="D9D9E3"/>
                                    <w:left w:val="single" w:sz="2" w:space="0" w:color="D9D9E3"/>
                                    <w:bottom w:val="single" w:sz="2" w:space="0" w:color="D9D9E3"/>
                                    <w:right w:val="single" w:sz="2" w:space="0" w:color="D9D9E3"/>
                                  </w:divBdr>
                                  <w:divsChild>
                                    <w:div w:id="2111392410">
                                      <w:marLeft w:val="0"/>
                                      <w:marRight w:val="0"/>
                                      <w:marTop w:val="0"/>
                                      <w:marBottom w:val="0"/>
                                      <w:divBdr>
                                        <w:top w:val="single" w:sz="2" w:space="0" w:color="D9D9E3"/>
                                        <w:left w:val="single" w:sz="2" w:space="0" w:color="D9D9E3"/>
                                        <w:bottom w:val="single" w:sz="2" w:space="0" w:color="D9D9E3"/>
                                        <w:right w:val="single" w:sz="2" w:space="0" w:color="D9D9E3"/>
                                      </w:divBdr>
                                      <w:divsChild>
                                        <w:div w:id="1297561100">
                                          <w:marLeft w:val="0"/>
                                          <w:marRight w:val="0"/>
                                          <w:marTop w:val="0"/>
                                          <w:marBottom w:val="0"/>
                                          <w:divBdr>
                                            <w:top w:val="single" w:sz="2" w:space="0" w:color="D9D9E3"/>
                                            <w:left w:val="single" w:sz="2" w:space="0" w:color="D9D9E3"/>
                                            <w:bottom w:val="single" w:sz="2" w:space="0" w:color="D9D9E3"/>
                                            <w:right w:val="single" w:sz="2" w:space="0" w:color="D9D9E3"/>
                                          </w:divBdr>
                                          <w:divsChild>
                                            <w:div w:id="1041515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0801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arable-companies.com/search?domain=https://www.cognizan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ekingalpha.com/article/3784566-cognizant-dominant-player-in-booming-software-service-indust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gnizant.com/en_us/about/documents/q4-2022-corporate-factsheet.pdf" TargetMode="External"/><Relationship Id="rId11" Type="http://schemas.openxmlformats.org/officeDocument/2006/relationships/image" Target="media/image2.png"/><Relationship Id="rId5" Type="http://schemas.openxmlformats.org/officeDocument/2006/relationships/hyperlink" Target="https://www.cognizant.com/en_us/about/documents/q4-2022-corporate-overview.pdf" TargetMode="External"/><Relationship Id="rId10" Type="http://schemas.openxmlformats.org/officeDocument/2006/relationships/hyperlink" Target="http://www.worldgovernmentbonds.com/bond-historical-data/united-states/10-years/"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Amit Sharma</cp:lastModifiedBy>
  <cp:revision>2</cp:revision>
  <dcterms:created xsi:type="dcterms:W3CDTF">2023-03-02T21:47:00Z</dcterms:created>
  <dcterms:modified xsi:type="dcterms:W3CDTF">2023-03-05T06:23:00Z</dcterms:modified>
</cp:coreProperties>
</file>