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AA8B" w14:textId="77777777" w:rsidR="00CB10DA" w:rsidRDefault="00CB10DA" w:rsidP="00CB10DA">
      <w:pPr>
        <w:pStyle w:val="Title"/>
        <w:jc w:val="center"/>
      </w:pPr>
      <w:r>
        <w:t>Synergies and Exploratory Procedures for Haptic Object Recognition</w:t>
      </w:r>
    </w:p>
    <w:p w14:paraId="2A9A56DD" w14:textId="77777777" w:rsidR="00CB10DA" w:rsidRDefault="00CB10DA" w:rsidP="00CB10DA"/>
    <w:p w14:paraId="7E031C62" w14:textId="77777777" w:rsidR="00CB10DA" w:rsidRDefault="00CB10DA" w:rsidP="00CB10DA"/>
    <w:p w14:paraId="5864D7B8" w14:textId="77777777" w:rsidR="00CB10DA" w:rsidRPr="00CB10DA" w:rsidRDefault="00CB10DA" w:rsidP="00CB10DA"/>
    <w:p w14:paraId="2FB496AB" w14:textId="77777777" w:rsidR="008D0076" w:rsidRDefault="00FB1600" w:rsidP="00CB10DA">
      <w:pPr>
        <w:pStyle w:val="Title"/>
      </w:pPr>
      <w:r>
        <w:rPr>
          <w:noProof/>
        </w:rPr>
        <w:drawing>
          <wp:inline distT="0" distB="0" distL="0" distR="0" wp14:anchorId="766D8774" wp14:editId="62F26C4B">
            <wp:extent cx="5731510" cy="4298950"/>
            <wp:effectExtent l="0" t="0" r="0" b="6350"/>
            <wp:docPr id="59296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64282" name="Picture 5929642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04FC62" w14:textId="77777777" w:rsidR="00B804C9" w:rsidRDefault="00B804C9" w:rsidP="00950AEA">
      <w:pPr>
        <w:jc w:val="both"/>
        <w:rPr>
          <w:lang w:val="en-US"/>
        </w:rPr>
      </w:pPr>
      <w:r w:rsidRPr="00B804C9">
        <w:rPr>
          <w:b/>
          <w:bCs/>
          <w:u w:val="single"/>
          <w:lang w:val="en-US"/>
        </w:rPr>
        <w:t>Figure 1.</w:t>
      </w:r>
      <w:r w:rsidRPr="00B804C9">
        <w:rPr>
          <w:b/>
          <w:bCs/>
          <w:lang w:val="en-US"/>
        </w:rPr>
        <w:t xml:space="preserve"> </w:t>
      </w:r>
      <w:r>
        <w:rPr>
          <w:lang w:val="en-US"/>
        </w:rPr>
        <w:t>This figure depicts the classification accuracy for different classifiers. Th</w:t>
      </w:r>
      <w:r w:rsidR="00950AEA">
        <w:rPr>
          <w:lang w:val="en-US"/>
        </w:rPr>
        <w:t>e</w:t>
      </w:r>
      <w:r>
        <w:rPr>
          <w:lang w:val="en-US"/>
        </w:rPr>
        <w:t>s</w:t>
      </w:r>
      <w:r w:rsidR="00950AEA">
        <w:rPr>
          <w:lang w:val="en-US"/>
        </w:rPr>
        <w:t>e</w:t>
      </w:r>
      <w:r>
        <w:rPr>
          <w:lang w:val="en-US"/>
        </w:rPr>
        <w:t xml:space="preserve"> classifiers are based on different inputs </w:t>
      </w:r>
      <w:r w:rsidR="00950AEA">
        <w:rPr>
          <w:lang w:val="en-US"/>
        </w:rPr>
        <w:t>(</w:t>
      </w:r>
      <w:r>
        <w:rPr>
          <w:lang w:val="en-US"/>
        </w:rPr>
        <w:t>the presence or absence of a particular Exploratory Procedure, the number of times each EP appears in a trial or the time spent on each EP</w:t>
      </w:r>
      <w:r w:rsidR="00950AEA">
        <w:rPr>
          <w:lang w:val="en-US"/>
        </w:rPr>
        <w:t>) and target variables (the object we gave to the subject in that trial, the object we asked for and the family for that trial)</w:t>
      </w:r>
      <w:r>
        <w:rPr>
          <w:lang w:val="en-US"/>
        </w:rPr>
        <w:t>.</w:t>
      </w:r>
      <w:r w:rsidR="00950AEA">
        <w:rPr>
          <w:lang w:val="en-US"/>
        </w:rPr>
        <w:t xml:space="preserve"> We cannot appreciate any difference in the classification accuracy with respect to the input used. </w:t>
      </w:r>
      <w:r w:rsidR="00737DB9">
        <w:rPr>
          <w:lang w:val="en-US"/>
        </w:rPr>
        <w:t xml:space="preserve">These results show significantly different accuracies for different target variables. We can see the EPs </w:t>
      </w:r>
      <w:r w:rsidR="00973499">
        <w:rPr>
          <w:lang w:val="en-US"/>
        </w:rPr>
        <w:t xml:space="preserve">used </w:t>
      </w:r>
      <w:r w:rsidR="00737DB9">
        <w:rPr>
          <w:lang w:val="en-US"/>
        </w:rPr>
        <w:t xml:space="preserve">are strongly related to the family (~70% accuracy with a chance level of 20%) as expected from previous work </w:t>
      </w:r>
      <w:r w:rsidR="00F467D9">
        <w:rPr>
          <w:lang w:val="en-US"/>
        </w:rPr>
        <w:t>by</w:t>
      </w:r>
      <w:r w:rsidR="00737DB9">
        <w:rPr>
          <w:lang w:val="en-US"/>
        </w:rPr>
        <w:t xml:space="preserve"> Lederman &amp; </w:t>
      </w:r>
      <w:proofErr w:type="spellStart"/>
      <w:r w:rsidR="00737DB9">
        <w:rPr>
          <w:lang w:val="en-US"/>
        </w:rPr>
        <w:t>Klatzky</w:t>
      </w:r>
      <w:proofErr w:type="spellEnd"/>
      <w:r w:rsidR="00737DB9">
        <w:rPr>
          <w:lang w:val="en-US"/>
        </w:rPr>
        <w:t xml:space="preserve"> </w:t>
      </w:r>
      <w:r w:rsidR="00737DB9">
        <w:rPr>
          <w:lang w:val="en-US"/>
        </w:rPr>
        <w:fldChar w:fldCharType="begin" w:fldLock="1"/>
      </w:r>
      <w:r w:rsidR="001F2594">
        <w:rPr>
          <w:lang w:val="en-US"/>
        </w:rPr>
        <w:instrText>ADDIN CSL_CITATION {"citationItems":[{"id":"ITEM-1","itemData":{"DOI":"https://doi.org/10.1016/S0079-7421(08)60027-4","author":[{"dropping-particle":"","family":"Klatzky","given":"Roberta L","non-dropping-particle":"","parse-names":false,"suffix":""},{"dropping-particle":"","family":"Lederman","given":"Susan J","non-dropping-particle":"","parse-names":false,"suffix":""}],"container-title":"The Psychology of learning and motivation","id":"ITEM-1","issued":{"date-parts":[["1987"]]},"note":"- They define object features.\n\n- They define exploratory movement categories.","page":"121-151","title":"The intelligent hand","type":"article-journal","volume":"21"},"uris":["http://www.mendeley.com/documents/?uuid=02d075fb-18c4-4748-9cad-da7fab48be35"]}],"mendeley":{"formattedCitation":"[1]","plainTextFormattedCitation":"[1]","previouslyFormattedCitation":"[1]"},"properties":{"noteIndex":0},"schema":"https://github.com/citation-style-language/schema/raw/master/csl-citation.json"}</w:instrText>
      </w:r>
      <w:r w:rsidR="00737DB9">
        <w:rPr>
          <w:lang w:val="en-US"/>
        </w:rPr>
        <w:fldChar w:fldCharType="separate"/>
      </w:r>
      <w:r w:rsidR="001F2594" w:rsidRPr="001F2594">
        <w:rPr>
          <w:noProof/>
          <w:lang w:val="en-US"/>
        </w:rPr>
        <w:t>[1]</w:t>
      </w:r>
      <w:r w:rsidR="00737DB9">
        <w:rPr>
          <w:lang w:val="en-US"/>
        </w:rPr>
        <w:fldChar w:fldCharType="end"/>
      </w:r>
      <w:r w:rsidR="00737DB9">
        <w:rPr>
          <w:lang w:val="en-US"/>
        </w:rPr>
        <w:t xml:space="preserve">. We can also see a difference in accuracies between the </w:t>
      </w:r>
      <w:r w:rsidR="00737DB9">
        <w:rPr>
          <w:i/>
          <w:iCs/>
          <w:lang w:val="en-US"/>
        </w:rPr>
        <w:t>asked object</w:t>
      </w:r>
      <w:r w:rsidR="00737DB9">
        <w:rPr>
          <w:lang w:val="en-US"/>
        </w:rPr>
        <w:t xml:space="preserve"> and the </w:t>
      </w:r>
      <w:r w:rsidR="00737DB9">
        <w:rPr>
          <w:i/>
          <w:iCs/>
          <w:lang w:val="en-US"/>
        </w:rPr>
        <w:t xml:space="preserve">given object </w:t>
      </w:r>
      <w:r w:rsidR="00737DB9">
        <w:rPr>
          <w:lang w:val="en-US"/>
        </w:rPr>
        <w:t xml:space="preserve">as target variables (with ~50% and ~33% accuracies respectively with a chance level of 33%). </w:t>
      </w:r>
      <w:r w:rsidR="00F658B1">
        <w:rPr>
          <w:lang w:val="en-US"/>
        </w:rPr>
        <w:t xml:space="preserve">These results </w:t>
      </w:r>
      <w:r w:rsidR="00973499">
        <w:rPr>
          <w:lang w:val="en-US"/>
        </w:rPr>
        <w:t xml:space="preserve">suggest that the selection of EPs is primarily guided by the perceived properties of the object being manipulated rather than the object they are asked about. </w:t>
      </w:r>
    </w:p>
    <w:p w14:paraId="60530268" w14:textId="77777777" w:rsidR="008C443C" w:rsidRDefault="008C443C" w:rsidP="00950AEA">
      <w:pPr>
        <w:jc w:val="both"/>
        <w:rPr>
          <w:lang w:val="en-US"/>
        </w:rPr>
      </w:pPr>
    </w:p>
    <w:p w14:paraId="6B904292" w14:textId="77777777" w:rsidR="008C443C" w:rsidRDefault="008C443C" w:rsidP="00950AEA">
      <w:pPr>
        <w:jc w:val="both"/>
        <w:rPr>
          <w:lang w:val="en-US"/>
        </w:rPr>
      </w:pPr>
      <w:r>
        <w:rPr>
          <w:noProof/>
          <w:lang w:val="en-US"/>
        </w:rPr>
        <w:lastRenderedPageBreak/>
        <w:drawing>
          <wp:inline distT="0" distB="0" distL="0" distR="0" wp14:anchorId="09315C88" wp14:editId="4AE179AF">
            <wp:extent cx="5731510" cy="4298632"/>
            <wp:effectExtent l="0" t="0" r="0" b="0"/>
            <wp:docPr id="53008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89469"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632"/>
                    </a:xfrm>
                    <a:prstGeom prst="rect">
                      <a:avLst/>
                    </a:prstGeom>
                  </pic:spPr>
                </pic:pic>
              </a:graphicData>
            </a:graphic>
          </wp:inline>
        </w:drawing>
      </w:r>
    </w:p>
    <w:p w14:paraId="1856BF5F" w14:textId="77777777" w:rsidR="008C443C" w:rsidRDefault="008C443C" w:rsidP="00950AEA">
      <w:pPr>
        <w:jc w:val="both"/>
        <w:rPr>
          <w:lang w:val="en-US"/>
        </w:rPr>
      </w:pPr>
      <w:r w:rsidRPr="00B804C9">
        <w:rPr>
          <w:b/>
          <w:bCs/>
          <w:u w:val="single"/>
          <w:lang w:val="en-US"/>
        </w:rPr>
        <w:t xml:space="preserve">Figure </w:t>
      </w:r>
      <w:r>
        <w:rPr>
          <w:b/>
          <w:bCs/>
          <w:u w:val="single"/>
          <w:lang w:val="en-US"/>
        </w:rPr>
        <w:t>2</w:t>
      </w:r>
      <w:r w:rsidRPr="00B804C9">
        <w:rPr>
          <w:b/>
          <w:bCs/>
          <w:u w:val="single"/>
          <w:lang w:val="en-US"/>
        </w:rPr>
        <w:t>.</w:t>
      </w:r>
      <w:r w:rsidRPr="00B804C9">
        <w:rPr>
          <w:b/>
          <w:bCs/>
          <w:lang w:val="en-US"/>
        </w:rPr>
        <w:t xml:space="preserve"> </w:t>
      </w:r>
      <w:r>
        <w:rPr>
          <w:b/>
          <w:bCs/>
          <w:lang w:val="en-US"/>
        </w:rPr>
        <w:t xml:space="preserve"> </w:t>
      </w:r>
      <w:r>
        <w:rPr>
          <w:lang w:val="en-US"/>
        </w:rPr>
        <w:t>This figure shows the weights associated to each variable (EPs in our case) built to predict the object’s family based on the presence or absence of the EPs</w:t>
      </w:r>
      <w:r>
        <w:rPr>
          <w:b/>
          <w:bCs/>
          <w:lang w:val="en-US"/>
        </w:rPr>
        <w:t xml:space="preserve">. </w:t>
      </w:r>
      <w:r>
        <w:rPr>
          <w:lang w:val="en-US"/>
        </w:rPr>
        <w:t xml:space="preserve">The </w:t>
      </w:r>
      <w:r w:rsidRPr="008C443C">
        <w:rPr>
          <w:i/>
          <w:iCs/>
          <w:lang w:val="en-US"/>
        </w:rPr>
        <w:t>total</w:t>
      </w:r>
      <w:r>
        <w:rPr>
          <w:lang w:val="en-US"/>
        </w:rPr>
        <w:t xml:space="preserve"> row is computed as the mean of the absolute value</w:t>
      </w:r>
      <w:r w:rsidR="00232365">
        <w:rPr>
          <w:lang w:val="en-US"/>
        </w:rPr>
        <w:t>s</w:t>
      </w:r>
      <w:r>
        <w:rPr>
          <w:lang w:val="en-US"/>
        </w:rPr>
        <w:t xml:space="preserve"> </w:t>
      </w:r>
      <w:r w:rsidR="00F467D9">
        <w:rPr>
          <w:lang w:val="en-US"/>
        </w:rPr>
        <w:t>for</w:t>
      </w:r>
      <w:r>
        <w:rPr>
          <w:lang w:val="en-US"/>
        </w:rPr>
        <w:t xml:space="preserve"> each family. </w:t>
      </w:r>
      <w:r w:rsidR="00232365" w:rsidRPr="00232365">
        <w:t>Positive weights cause the model to categorize a trial as belonging to a specific family when the corresponding EP is present, whereas negative weights result in the model classifying the trial as not belonging to that family when the EP is present.</w:t>
      </w:r>
      <w:r w:rsidR="00232365">
        <w:rPr>
          <w:lang w:val="en-US"/>
        </w:rPr>
        <w:t xml:space="preserve"> </w:t>
      </w:r>
      <w:r w:rsidR="00232365" w:rsidRPr="00232365">
        <w:t>The absolute value of the weight denotes the impact that the respective EP has on the final classification.</w:t>
      </w:r>
      <w:r w:rsidR="00232365">
        <w:rPr>
          <w:lang w:val="en-US"/>
        </w:rPr>
        <w:t xml:space="preserve"> </w:t>
      </w:r>
      <w:r w:rsidR="00824B75">
        <w:rPr>
          <w:lang w:val="en-US"/>
        </w:rPr>
        <w:t xml:space="preserve">E.g.: Those trials with the EP </w:t>
      </w:r>
      <w:r w:rsidR="00824B75">
        <w:rPr>
          <w:i/>
          <w:iCs/>
          <w:lang w:val="en-US"/>
        </w:rPr>
        <w:t>pressure</w:t>
      </w:r>
      <w:r w:rsidR="00824B75">
        <w:rPr>
          <w:lang w:val="en-US"/>
        </w:rPr>
        <w:t xml:space="preserve"> won’t be classified as </w:t>
      </w:r>
      <w:r w:rsidR="00824B75">
        <w:rPr>
          <w:i/>
          <w:iCs/>
          <w:lang w:val="en-US"/>
        </w:rPr>
        <w:t xml:space="preserve">mugs, geometric </w:t>
      </w:r>
      <w:r w:rsidR="00824B75">
        <w:rPr>
          <w:lang w:val="en-US"/>
        </w:rPr>
        <w:t xml:space="preserve">or </w:t>
      </w:r>
      <w:r w:rsidR="00824B75">
        <w:rPr>
          <w:i/>
          <w:iCs/>
          <w:lang w:val="en-US"/>
        </w:rPr>
        <w:t>cutlery</w:t>
      </w:r>
      <w:r w:rsidR="00824B75">
        <w:rPr>
          <w:lang w:val="en-US"/>
        </w:rPr>
        <w:t xml:space="preserve"> but as </w:t>
      </w:r>
      <w:r w:rsidR="00824B75">
        <w:rPr>
          <w:i/>
          <w:iCs/>
          <w:lang w:val="en-US"/>
        </w:rPr>
        <w:t>plates</w:t>
      </w:r>
      <w:r w:rsidR="00824B75">
        <w:rPr>
          <w:lang w:val="en-US"/>
        </w:rPr>
        <w:t xml:space="preserve"> or more probably, as </w:t>
      </w:r>
      <w:r w:rsidR="00824B75">
        <w:rPr>
          <w:i/>
          <w:iCs/>
          <w:lang w:val="en-US"/>
        </w:rPr>
        <w:t>sports balls</w:t>
      </w:r>
      <w:r w:rsidR="00824B75">
        <w:rPr>
          <w:lang w:val="en-US"/>
        </w:rPr>
        <w:t xml:space="preserve">. This is a numerical approach to the results previously reported by Lederman &amp; </w:t>
      </w:r>
      <w:proofErr w:type="spellStart"/>
      <w:r w:rsidR="00824B75">
        <w:rPr>
          <w:lang w:val="en-US"/>
        </w:rPr>
        <w:t>Klatzky</w:t>
      </w:r>
      <w:proofErr w:type="spellEnd"/>
      <w:r w:rsidR="00824B75">
        <w:rPr>
          <w:lang w:val="en-US"/>
        </w:rPr>
        <w:t xml:space="preserve"> </w:t>
      </w:r>
      <w:r w:rsidR="00824B75">
        <w:rPr>
          <w:lang w:val="en-US"/>
        </w:rPr>
        <w:fldChar w:fldCharType="begin" w:fldLock="1"/>
      </w:r>
      <w:r w:rsidR="001F2594">
        <w:rPr>
          <w:lang w:val="en-US"/>
        </w:rPr>
        <w:instrText>ADDIN CSL_CITATION {"citationItems":[{"id":"ITEM-1","itemData":{"DOI":"https://doi.org/10.1016/S0079-7421(08)60027-4","author":[{"dropping-particle":"","family":"Klatzky","given":"Roberta L","non-dropping-particle":"","parse-names":false,"suffix":""},{"dropping-particle":"","family":"Lederman","given":"Susan J","non-dropping-particle":"","parse-names":false,"suffix":""}],"container-title":"The Psychology of learning and motivation","id":"ITEM-1","issued":{"date-parts":[["1987"]]},"note":"- They define object features.\n\n- They define exploratory movement categories.","page":"121-151","title":"The intelligent hand","type":"article-journal","volume":"21"},"uris":["http://www.mendeley.com/documents/?uuid=02d075fb-18c4-4748-9cad-da7fab48be35"]}],"mendeley":{"formattedCitation":"[1]","plainTextFormattedCitation":"[1]","previouslyFormattedCitation":"[1]"},"properties":{"noteIndex":0},"schema":"https://github.com/citation-style-language/schema/raw/master/csl-citation.json"}</w:instrText>
      </w:r>
      <w:r w:rsidR="00824B75">
        <w:rPr>
          <w:lang w:val="en-US"/>
        </w:rPr>
        <w:fldChar w:fldCharType="separate"/>
      </w:r>
      <w:r w:rsidR="001F2594" w:rsidRPr="001F2594">
        <w:rPr>
          <w:noProof/>
          <w:lang w:val="en-US"/>
        </w:rPr>
        <w:t>[1]</w:t>
      </w:r>
      <w:r w:rsidR="00824B75">
        <w:rPr>
          <w:lang w:val="en-US"/>
        </w:rPr>
        <w:fldChar w:fldCharType="end"/>
      </w:r>
      <w:r w:rsidR="00824B75">
        <w:rPr>
          <w:lang w:val="en-US"/>
        </w:rPr>
        <w:t>.</w:t>
      </w:r>
    </w:p>
    <w:p w14:paraId="39A832AC" w14:textId="77777777" w:rsidR="00F03843" w:rsidRDefault="00F03843" w:rsidP="00950AEA">
      <w:pPr>
        <w:jc w:val="both"/>
        <w:rPr>
          <w:lang w:val="en-US"/>
        </w:rPr>
      </w:pPr>
    </w:p>
    <w:p w14:paraId="7478BCB5" w14:textId="476C4260" w:rsidR="00F03843" w:rsidRDefault="00F03843" w:rsidP="00F03843">
      <w:pPr>
        <w:jc w:val="center"/>
        <w:rPr>
          <w:lang w:val="en-US"/>
        </w:rPr>
      </w:pPr>
      <w:r>
        <w:rPr>
          <w:noProof/>
          <w:lang w:val="en-US"/>
        </w:rPr>
        <w:lastRenderedPageBreak/>
        <w:drawing>
          <wp:inline distT="0" distB="0" distL="0" distR="0" wp14:anchorId="1F3B26C2" wp14:editId="37AA82D9">
            <wp:extent cx="5029200" cy="4394200"/>
            <wp:effectExtent l="0" t="0" r="0" b="0"/>
            <wp:docPr id="496191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91497"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029200" cy="4394200"/>
                    </a:xfrm>
                    <a:prstGeom prst="rect">
                      <a:avLst/>
                    </a:prstGeom>
                  </pic:spPr>
                </pic:pic>
              </a:graphicData>
            </a:graphic>
          </wp:inline>
        </w:drawing>
      </w:r>
    </w:p>
    <w:p w14:paraId="132785E4" w14:textId="2A0B6D7C" w:rsidR="00CC53E5" w:rsidRDefault="00F03843" w:rsidP="0022357F">
      <w:pPr>
        <w:jc w:val="both"/>
        <w:rPr>
          <w:rFonts w:cstheme="minorHAnsi"/>
          <w:shd w:val="clear" w:color="auto" w:fill="FFFFFF"/>
        </w:rPr>
      </w:pPr>
      <w:r>
        <w:rPr>
          <w:b/>
          <w:bCs/>
          <w:u w:val="single"/>
          <w:lang w:val="en-US"/>
        </w:rPr>
        <w:t>Figure 3</w:t>
      </w:r>
      <w:r w:rsidR="0022357F">
        <w:rPr>
          <w:b/>
          <w:bCs/>
          <w:u w:val="single"/>
          <w:lang w:val="en-US"/>
        </w:rPr>
        <w:t>.</w:t>
      </w:r>
      <w:r>
        <w:rPr>
          <w:lang w:val="en-US"/>
        </w:rPr>
        <w:t xml:space="preserve"> </w:t>
      </w:r>
      <w:r w:rsidRPr="00F03843">
        <w:rPr>
          <w:rFonts w:cstheme="minorHAnsi"/>
          <w:shd w:val="clear" w:color="auto" w:fill="FFFFFF"/>
        </w:rPr>
        <w:t>The reconstruction error from each model applied to all data splits.</w:t>
      </w:r>
    </w:p>
    <w:p w14:paraId="35D65331" w14:textId="77777777" w:rsidR="00F03843" w:rsidRDefault="00F03843" w:rsidP="00F03843">
      <w:pPr>
        <w:jc w:val="center"/>
        <w:rPr>
          <w:rFonts w:cstheme="minorHAnsi"/>
          <w:shd w:val="clear" w:color="auto" w:fill="FFFFFF"/>
        </w:rPr>
      </w:pPr>
    </w:p>
    <w:p w14:paraId="5B725E3A" w14:textId="7485125F" w:rsidR="00F03843" w:rsidRDefault="00F03843" w:rsidP="00F03843">
      <w:pPr>
        <w:jc w:val="center"/>
        <w:rPr>
          <w:rFonts w:cstheme="minorHAnsi"/>
          <w:lang w:val="en-US"/>
        </w:rPr>
      </w:pPr>
      <w:r>
        <w:rPr>
          <w:rFonts w:cstheme="minorHAnsi"/>
          <w:noProof/>
          <w:lang w:val="en-US"/>
        </w:rPr>
        <w:drawing>
          <wp:inline distT="0" distB="0" distL="0" distR="0" wp14:anchorId="301EBD46" wp14:editId="7D920583">
            <wp:extent cx="5731510" cy="2604135"/>
            <wp:effectExtent l="0" t="0" r="0" b="0"/>
            <wp:docPr id="2006911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11602" name="Picture 20069116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6F7639BA" w14:textId="60746C45" w:rsidR="00F03843" w:rsidRDefault="00F03843" w:rsidP="00F03843">
      <w:pPr>
        <w:jc w:val="both"/>
        <w:rPr>
          <w:rFonts w:ascii="Calibri" w:hAnsi="Calibri" w:cs="Calibri"/>
          <w:shd w:val="clear" w:color="auto" w:fill="FFFFFF"/>
        </w:rPr>
      </w:pPr>
      <w:r>
        <w:rPr>
          <w:rFonts w:cstheme="minorHAnsi"/>
          <w:b/>
          <w:bCs/>
          <w:u w:val="single"/>
          <w:lang w:val="en-US"/>
        </w:rPr>
        <w:t>Figure 4</w:t>
      </w:r>
      <w:r w:rsidR="0022357F">
        <w:rPr>
          <w:rFonts w:cstheme="minorHAnsi"/>
          <w:b/>
          <w:bCs/>
          <w:u w:val="single"/>
          <w:lang w:val="en-US"/>
        </w:rPr>
        <w:t>.</w:t>
      </w:r>
      <w:r w:rsidRPr="00F03843">
        <w:rPr>
          <w:rFonts w:cstheme="minorHAnsi"/>
          <w:b/>
          <w:bCs/>
          <w:lang w:val="en-US"/>
        </w:rPr>
        <w:t xml:space="preserve"> </w:t>
      </w:r>
      <w:r w:rsidRPr="00F03843">
        <w:rPr>
          <w:rFonts w:ascii="Calibri" w:hAnsi="Calibri" w:cs="Calibri"/>
          <w:shd w:val="clear" w:color="auto" w:fill="FFFFFF"/>
        </w:rPr>
        <w:t>The result of the mapping of the synergies of subject 2 on the syn-</w:t>
      </w:r>
      <w:r w:rsidRPr="00F03843">
        <w:rPr>
          <w:rFonts w:ascii="Calibri" w:hAnsi="Calibri" w:cs="Calibri"/>
        </w:rPr>
        <w:br/>
      </w:r>
      <w:r w:rsidRPr="00F03843">
        <w:rPr>
          <w:rFonts w:ascii="Calibri" w:hAnsi="Calibri" w:cs="Calibri"/>
          <w:shd w:val="clear" w:color="auto" w:fill="FFFFFF"/>
        </w:rPr>
        <w:t>ergies of subject 1. The synergies of subject 2 which have the highest (lowest)</w:t>
      </w:r>
      <w:r w:rsidRPr="00F03843">
        <w:rPr>
          <w:rFonts w:ascii="Calibri" w:hAnsi="Calibri" w:cs="Calibri"/>
        </w:rPr>
        <w:br/>
      </w:r>
      <w:r w:rsidRPr="00F03843">
        <w:rPr>
          <w:rFonts w:ascii="Calibri" w:hAnsi="Calibri" w:cs="Calibri"/>
          <w:shd w:val="clear" w:color="auto" w:fill="FFFFFF"/>
        </w:rPr>
        <w:t>correlation are mapped and visualized together. Correlation allows to detect</w:t>
      </w:r>
      <w:r w:rsidRPr="00F03843">
        <w:rPr>
          <w:rFonts w:ascii="Calibri" w:hAnsi="Calibri" w:cs="Calibri"/>
        </w:rPr>
        <w:br/>
      </w:r>
      <w:r w:rsidRPr="00F03843">
        <w:rPr>
          <w:rFonts w:ascii="Calibri" w:hAnsi="Calibri" w:cs="Calibri"/>
          <w:shd w:val="clear" w:color="auto" w:fill="FFFFFF"/>
        </w:rPr>
        <w:t>anti-correlated pairs which are shown in green.</w:t>
      </w:r>
    </w:p>
    <w:p w14:paraId="2DCFECE2" w14:textId="77777777" w:rsidR="00F03843" w:rsidRDefault="00F03843" w:rsidP="00F03843">
      <w:pPr>
        <w:jc w:val="both"/>
        <w:rPr>
          <w:rFonts w:ascii="Calibri" w:hAnsi="Calibri" w:cs="Calibri"/>
          <w:shd w:val="clear" w:color="auto" w:fill="FFFFFF"/>
        </w:rPr>
      </w:pPr>
    </w:p>
    <w:p w14:paraId="75BBEE25" w14:textId="7A24EC2E" w:rsidR="00F03843" w:rsidRDefault="00F03843" w:rsidP="00F03843">
      <w:pPr>
        <w:jc w:val="both"/>
        <w:rPr>
          <w:rFonts w:cstheme="minorHAnsi"/>
          <w:lang w:val="en-GB"/>
        </w:rPr>
      </w:pPr>
      <w:r>
        <w:rPr>
          <w:rFonts w:cstheme="minorHAnsi"/>
          <w:noProof/>
          <w:lang w:val="en-GB"/>
        </w:rPr>
        <w:lastRenderedPageBreak/>
        <w:drawing>
          <wp:inline distT="0" distB="0" distL="0" distR="0" wp14:anchorId="758596CC" wp14:editId="68DF619D">
            <wp:extent cx="5731510" cy="2630805"/>
            <wp:effectExtent l="0" t="0" r="0" b="0"/>
            <wp:docPr id="256766429" name="Picture 7" descr="A diagram of a graph and 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66429" name="Picture 7" descr="A diagram of a graph and a diagram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p>
    <w:p w14:paraId="004BF90A" w14:textId="276BC5D9" w:rsidR="00F03843" w:rsidRPr="0068603E" w:rsidRDefault="00F03843" w:rsidP="00F03843">
      <w:pPr>
        <w:jc w:val="both"/>
        <w:rPr>
          <w:rFonts w:cstheme="minorHAnsi"/>
          <w:lang w:val="en-US"/>
        </w:rPr>
      </w:pPr>
      <w:r>
        <w:rPr>
          <w:rFonts w:cstheme="minorHAnsi"/>
          <w:b/>
          <w:bCs/>
          <w:u w:val="single"/>
          <w:lang w:val="en-GB"/>
        </w:rPr>
        <w:t>Figure 5</w:t>
      </w:r>
      <w:r w:rsidR="0022357F">
        <w:rPr>
          <w:rFonts w:cstheme="minorHAnsi"/>
          <w:b/>
          <w:bCs/>
          <w:u w:val="single"/>
          <w:lang w:val="en-GB"/>
        </w:rPr>
        <w:t>.</w:t>
      </w:r>
      <w:r>
        <w:rPr>
          <w:rFonts w:cstheme="minorHAnsi"/>
          <w:lang w:val="en-GB"/>
        </w:rPr>
        <w:t xml:space="preserve"> </w:t>
      </w:r>
      <w:r w:rsidRPr="00F03843">
        <w:rPr>
          <w:rFonts w:ascii="Calibri" w:hAnsi="Calibri" w:cs="Calibri"/>
          <w:shd w:val="clear" w:color="auto" w:fill="FFFFFF"/>
        </w:rPr>
        <w:t xml:space="preserve">Similarity calculated using three different metrics. </w:t>
      </w:r>
      <w:r w:rsidRPr="00F03843">
        <w:rPr>
          <w:rFonts w:ascii="Calibri" w:hAnsi="Calibri" w:cs="Calibri"/>
          <w:b/>
          <w:bCs/>
          <w:shd w:val="clear" w:color="auto" w:fill="FFFFFF"/>
        </w:rPr>
        <w:t>(a)</w:t>
      </w:r>
      <w:r w:rsidRPr="00F03843">
        <w:rPr>
          <w:rFonts w:ascii="Calibri" w:hAnsi="Calibri" w:cs="Calibri"/>
          <w:shd w:val="clear" w:color="auto" w:fill="FFFFFF"/>
        </w:rPr>
        <w:t xml:space="preserve"> Shows the correlation</w:t>
      </w:r>
      <w:r>
        <w:rPr>
          <w:rFonts w:ascii="Calibri" w:hAnsi="Calibri" w:cs="Calibri"/>
          <w:shd w:val="clear" w:color="auto" w:fill="FFFFFF"/>
        </w:rPr>
        <w:t xml:space="preserve"> </w:t>
      </w:r>
      <w:r w:rsidRPr="00F03843">
        <w:rPr>
          <w:rFonts w:ascii="Calibri" w:hAnsi="Calibri" w:cs="Calibri"/>
          <w:shd w:val="clear" w:color="auto" w:fill="FFFFFF"/>
        </w:rPr>
        <w:t>between every</w:t>
      </w:r>
      <w:r>
        <w:rPr>
          <w:rFonts w:ascii="Calibri" w:hAnsi="Calibri" w:cs="Calibri"/>
          <w:shd w:val="clear" w:color="auto" w:fill="FFFFFF"/>
        </w:rPr>
        <w:t xml:space="preserve"> </w:t>
      </w:r>
      <w:r w:rsidRPr="00F03843">
        <w:rPr>
          <w:rFonts w:ascii="Calibri" w:hAnsi="Calibri" w:cs="Calibri"/>
          <w:shd w:val="clear" w:color="auto" w:fill="FFFFFF"/>
        </w:rPr>
        <w:t>synergy of subject 1 with every synergy of</w:t>
      </w:r>
      <w:r>
        <w:rPr>
          <w:rFonts w:ascii="Calibri" w:hAnsi="Calibri" w:cs="Calibri"/>
          <w:shd w:val="clear" w:color="auto" w:fill="FFFFFF"/>
        </w:rPr>
        <w:t xml:space="preserve"> </w:t>
      </w:r>
      <w:r w:rsidRPr="00F03843">
        <w:rPr>
          <w:rFonts w:ascii="Calibri" w:hAnsi="Calibri" w:cs="Calibri"/>
          <w:shd w:val="clear" w:color="auto" w:fill="FFFFFF"/>
        </w:rPr>
        <w:t xml:space="preserve">subject 2. </w:t>
      </w:r>
      <w:r w:rsidRPr="00F03843">
        <w:rPr>
          <w:rFonts w:ascii="Calibri" w:hAnsi="Calibri" w:cs="Calibri"/>
          <w:b/>
          <w:bCs/>
          <w:shd w:val="clear" w:color="auto" w:fill="FFFFFF"/>
        </w:rPr>
        <w:t>(b)</w:t>
      </w:r>
      <w:r w:rsidRPr="00F03843">
        <w:rPr>
          <w:rFonts w:ascii="Calibri" w:hAnsi="Calibri" w:cs="Calibri"/>
          <w:shd w:val="clear" w:color="auto" w:fill="FFFFFF"/>
        </w:rPr>
        <w:t xml:space="preserve"> </w:t>
      </w:r>
      <w:r w:rsidR="0068603E" w:rsidRPr="0068603E">
        <w:rPr>
          <w:rFonts w:ascii="Calibri" w:hAnsi="Calibri" w:cs="Calibri"/>
          <w:shd w:val="clear" w:color="auto" w:fill="FFFFFF"/>
          <w:lang w:val="en-US"/>
        </w:rPr>
        <w:t xml:space="preserve">Visualizes the best match between </w:t>
      </w:r>
      <w:r w:rsidR="00734557" w:rsidRPr="0068603E">
        <w:rPr>
          <w:rFonts w:ascii="Calibri" w:hAnsi="Calibri" w:cs="Calibri"/>
          <w:shd w:val="clear" w:color="auto" w:fill="FFFFFF"/>
          <w:lang w:val="en-US"/>
        </w:rPr>
        <w:t>the</w:t>
      </w:r>
      <w:r w:rsidR="0068603E" w:rsidRPr="0068603E">
        <w:rPr>
          <w:rFonts w:ascii="Calibri" w:hAnsi="Calibri" w:cs="Calibri"/>
          <w:shd w:val="clear" w:color="auto" w:fill="FFFFFF"/>
          <w:lang w:val="en-US"/>
        </w:rPr>
        <w:t xml:space="preserve"> synergies extracted f</w:t>
      </w:r>
      <w:r w:rsidR="0068603E">
        <w:rPr>
          <w:rFonts w:ascii="Calibri" w:hAnsi="Calibri" w:cs="Calibri"/>
          <w:shd w:val="clear" w:color="auto" w:fill="FFFFFF"/>
          <w:lang w:val="en-US"/>
        </w:rPr>
        <w:t>orm subject 2 towards subject 1. The marker size indicates the correlation/distance.</w:t>
      </w:r>
    </w:p>
    <w:p w14:paraId="64F1F67C" w14:textId="1234C7B9" w:rsidR="00CC53E5" w:rsidRDefault="00CC53E5" w:rsidP="00950AEA">
      <w:pPr>
        <w:jc w:val="both"/>
        <w:rPr>
          <w:lang w:val="en-US"/>
        </w:rPr>
      </w:pPr>
      <w:r>
        <w:rPr>
          <w:noProof/>
          <w:lang w:val="en-US"/>
        </w:rPr>
        <w:drawing>
          <wp:inline distT="0" distB="0" distL="0" distR="0" wp14:anchorId="0DDEAE3F" wp14:editId="4B95DEDD">
            <wp:extent cx="5731510" cy="3439160"/>
            <wp:effectExtent l="0" t="0" r="0" b="2540"/>
            <wp:docPr id="1053519220" name="Picture 2"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19220" name="Picture 2" descr="A diagram of a diagram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BA3C994" w14:textId="77777777" w:rsidR="00F85079" w:rsidRDefault="00F85079" w:rsidP="00950AEA">
      <w:pPr>
        <w:jc w:val="both"/>
        <w:rPr>
          <w:lang w:val="en-US"/>
        </w:rPr>
      </w:pPr>
    </w:p>
    <w:p w14:paraId="13C8FA73" w14:textId="60855123" w:rsidR="00CC53E5" w:rsidRDefault="00F85079" w:rsidP="00950AEA">
      <w:pPr>
        <w:jc w:val="both"/>
        <w:rPr>
          <w:lang w:val="en-US"/>
        </w:rPr>
      </w:pPr>
      <w:r w:rsidRPr="00B804C9">
        <w:rPr>
          <w:b/>
          <w:bCs/>
          <w:u w:val="single"/>
          <w:lang w:val="en-US"/>
        </w:rPr>
        <w:t xml:space="preserve">Figure </w:t>
      </w:r>
      <w:r w:rsidR="0022357F">
        <w:rPr>
          <w:b/>
          <w:bCs/>
          <w:u w:val="single"/>
          <w:lang w:val="en-US"/>
        </w:rPr>
        <w:t>6</w:t>
      </w:r>
      <w:r w:rsidRPr="00B804C9">
        <w:rPr>
          <w:b/>
          <w:bCs/>
          <w:u w:val="single"/>
          <w:lang w:val="en-US"/>
        </w:rPr>
        <w:t>.</w:t>
      </w:r>
      <w:r w:rsidRPr="00B804C9">
        <w:rPr>
          <w:b/>
          <w:bCs/>
          <w:lang w:val="en-US"/>
        </w:rPr>
        <w:t xml:space="preserve"> </w:t>
      </w:r>
      <w:r>
        <w:rPr>
          <w:b/>
          <w:bCs/>
          <w:lang w:val="en-US"/>
        </w:rPr>
        <w:t xml:space="preserve"> </w:t>
      </w:r>
      <w:r w:rsidRPr="002D67D0">
        <w:rPr>
          <w:lang w:val="en-US"/>
        </w:rPr>
        <w:t>T</w:t>
      </w:r>
      <w:r w:rsidRPr="002D67D0">
        <w:t>his fig</w:t>
      </w:r>
      <w:r>
        <w:t>ure shows the classification accuracy targeting the EP label using the raw data, the scores form the synergies extracted from all subjects together and the scores from synergies leaving one subject out. Results suggest that there are underlying patterns between subjects even though they are not fully shared.</w:t>
      </w:r>
    </w:p>
    <w:p w14:paraId="59218601" w14:textId="77777777" w:rsidR="00CC53E5" w:rsidRDefault="00CC53E5" w:rsidP="00950AEA">
      <w:pPr>
        <w:jc w:val="both"/>
        <w:rPr>
          <w:lang w:val="en-US"/>
        </w:rPr>
      </w:pPr>
    </w:p>
    <w:p w14:paraId="7E8E2E71" w14:textId="77777777" w:rsidR="00074BAE" w:rsidRDefault="00074BAE" w:rsidP="00950AEA">
      <w:pPr>
        <w:jc w:val="both"/>
        <w:rPr>
          <w:lang w:val="en-US"/>
        </w:rPr>
      </w:pPr>
    </w:p>
    <w:p w14:paraId="0B39E0B2" w14:textId="6677CE25" w:rsidR="00074BAE" w:rsidRDefault="00074BAE" w:rsidP="00074BAE">
      <w:pPr>
        <w:jc w:val="center"/>
        <w:rPr>
          <w:lang w:val="en-US"/>
        </w:rPr>
      </w:pPr>
      <w:r>
        <w:rPr>
          <w:noProof/>
          <w:lang w:val="en-US"/>
        </w:rPr>
        <w:lastRenderedPageBreak/>
        <w:drawing>
          <wp:inline distT="0" distB="0" distL="0" distR="0" wp14:anchorId="514A5DB8" wp14:editId="33A1D993">
            <wp:extent cx="5592988" cy="2296240"/>
            <wp:effectExtent l="0" t="0" r="0" b="2540"/>
            <wp:docPr id="195348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8082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42998" cy="2357827"/>
                    </a:xfrm>
                    <a:prstGeom prst="rect">
                      <a:avLst/>
                    </a:prstGeom>
                  </pic:spPr>
                </pic:pic>
              </a:graphicData>
            </a:graphic>
          </wp:inline>
        </w:drawing>
      </w:r>
    </w:p>
    <w:p w14:paraId="713DEAC9" w14:textId="4975B3F1" w:rsidR="00074BAE" w:rsidRPr="00775C2F" w:rsidRDefault="00074BAE" w:rsidP="0022357F">
      <w:pPr>
        <w:jc w:val="both"/>
        <w:rPr>
          <w:lang w:val="en-US"/>
        </w:rPr>
      </w:pPr>
      <w:r w:rsidRPr="00B804C9">
        <w:rPr>
          <w:b/>
          <w:bCs/>
          <w:u w:val="single"/>
          <w:lang w:val="en-US"/>
        </w:rPr>
        <w:t xml:space="preserve">Figure </w:t>
      </w:r>
      <w:r w:rsidR="0022357F">
        <w:rPr>
          <w:b/>
          <w:bCs/>
          <w:u w:val="single"/>
          <w:lang w:val="en-US"/>
        </w:rPr>
        <w:t>7</w:t>
      </w:r>
      <w:r w:rsidRPr="00B804C9">
        <w:rPr>
          <w:b/>
          <w:bCs/>
          <w:u w:val="single"/>
          <w:lang w:val="en-US"/>
        </w:rPr>
        <w:t>.</w:t>
      </w:r>
      <w:r w:rsidRPr="00B804C9">
        <w:rPr>
          <w:b/>
          <w:bCs/>
          <w:lang w:val="en-US"/>
        </w:rPr>
        <w:t xml:space="preserve"> </w:t>
      </w:r>
      <w:r>
        <w:rPr>
          <w:b/>
          <w:bCs/>
          <w:lang w:val="en-US"/>
        </w:rPr>
        <w:t xml:space="preserve"> </w:t>
      </w:r>
      <w:r w:rsidRPr="002D67D0">
        <w:rPr>
          <w:lang w:val="en-US"/>
        </w:rPr>
        <w:t>T</w:t>
      </w:r>
      <w:r w:rsidRPr="002D67D0">
        <w:t>his fig</w:t>
      </w:r>
      <w:r>
        <w:t xml:space="preserve">ure shows the silhouette score </w:t>
      </w:r>
      <w:r w:rsidR="00CC53E5">
        <w:t xml:space="preserve">resulting </w:t>
      </w:r>
      <w:r w:rsidR="007046CD">
        <w:t>after</w:t>
      </w:r>
      <w:r w:rsidR="00CC53E5">
        <w:t xml:space="preserve"> clustering the synergies extracted </w:t>
      </w:r>
      <w:r w:rsidR="007046CD">
        <w:t>from</w:t>
      </w:r>
      <w:r w:rsidR="00CC53E5">
        <w:t xml:space="preserve"> each subject</w:t>
      </w:r>
      <w:r w:rsidR="00775C2F">
        <w:t xml:space="preserve"> </w:t>
      </w:r>
      <w:r w:rsidR="00775C2F" w:rsidRPr="00775C2F">
        <w:rPr>
          <w:b/>
          <w:bCs/>
        </w:rPr>
        <w:t>(a)</w:t>
      </w:r>
      <w:r w:rsidR="00775C2F">
        <w:rPr>
          <w:b/>
          <w:bCs/>
        </w:rPr>
        <w:t xml:space="preserve"> </w:t>
      </w:r>
      <w:r w:rsidR="00775C2F">
        <w:t xml:space="preserve"> and EP </w:t>
      </w:r>
      <w:r w:rsidR="00775C2F">
        <w:rPr>
          <w:b/>
          <w:bCs/>
        </w:rPr>
        <w:t>(b)</w:t>
      </w:r>
      <w:r w:rsidR="00775C2F">
        <w:t xml:space="preserve">. </w:t>
      </w:r>
      <w:r w:rsidR="007046CD">
        <w:t>Scores for subject clustering are very low and at every step the algorithm creates a new cluster for a single subject. Score for EPs are higher and show very interesing results for two clusters, dividing the EPs in what can be considered coarse and fine movements.</w:t>
      </w:r>
    </w:p>
    <w:p w14:paraId="52F85B61" w14:textId="77777777" w:rsidR="00EE0397" w:rsidRDefault="00EE0397" w:rsidP="00950AEA">
      <w:pPr>
        <w:jc w:val="both"/>
        <w:rPr>
          <w:lang w:val="en-US"/>
        </w:rPr>
      </w:pPr>
    </w:p>
    <w:p w14:paraId="1CD6771A" w14:textId="77777777" w:rsidR="00256562" w:rsidRDefault="00C24A4D" w:rsidP="00950AEA">
      <w:pPr>
        <w:jc w:val="both"/>
        <w:rPr>
          <w:lang w:val="en-US"/>
        </w:rPr>
      </w:pPr>
      <w:r>
        <w:rPr>
          <w:noProof/>
          <w:lang w:val="en-US"/>
        </w:rPr>
        <w:drawing>
          <wp:inline distT="0" distB="0" distL="0" distR="0" wp14:anchorId="29F8255F" wp14:editId="388B6E0E">
            <wp:extent cx="5731510" cy="2204908"/>
            <wp:effectExtent l="0" t="0" r="0" b="5080"/>
            <wp:docPr id="150212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20162"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4908"/>
                    </a:xfrm>
                    <a:prstGeom prst="rect">
                      <a:avLst/>
                    </a:prstGeom>
                  </pic:spPr>
                </pic:pic>
              </a:graphicData>
            </a:graphic>
          </wp:inline>
        </w:drawing>
      </w:r>
    </w:p>
    <w:p w14:paraId="3C98BE87" w14:textId="5F681C46" w:rsidR="00E767FA" w:rsidRDefault="002D67D0" w:rsidP="00950AEA">
      <w:pPr>
        <w:jc w:val="both"/>
      </w:pPr>
      <w:r w:rsidRPr="00B804C9">
        <w:rPr>
          <w:b/>
          <w:bCs/>
          <w:u w:val="single"/>
          <w:lang w:val="en-US"/>
        </w:rPr>
        <w:t xml:space="preserve">Figure </w:t>
      </w:r>
      <w:r w:rsidR="0022357F">
        <w:rPr>
          <w:b/>
          <w:bCs/>
          <w:u w:val="single"/>
          <w:lang w:val="en-US"/>
        </w:rPr>
        <w:t>8</w:t>
      </w:r>
      <w:r w:rsidRPr="00B804C9">
        <w:rPr>
          <w:b/>
          <w:bCs/>
          <w:u w:val="single"/>
          <w:lang w:val="en-US"/>
        </w:rPr>
        <w:t>.</w:t>
      </w:r>
      <w:r w:rsidRPr="00B804C9">
        <w:rPr>
          <w:b/>
          <w:bCs/>
          <w:lang w:val="en-US"/>
        </w:rPr>
        <w:t xml:space="preserve"> </w:t>
      </w:r>
      <w:r>
        <w:rPr>
          <w:b/>
          <w:bCs/>
          <w:lang w:val="en-US"/>
        </w:rPr>
        <w:t xml:space="preserve"> </w:t>
      </w:r>
      <w:r w:rsidRPr="002D67D0">
        <w:rPr>
          <w:lang w:val="en-US"/>
        </w:rPr>
        <w:t>T</w:t>
      </w:r>
      <w:r w:rsidRPr="002D67D0">
        <w:t xml:space="preserve">his figure depicts the evolution in classification accuracy as we </w:t>
      </w:r>
      <w:r>
        <w:rPr>
          <w:lang w:val="en-US"/>
        </w:rPr>
        <w:t>discard</w:t>
      </w:r>
      <w:r w:rsidRPr="002D67D0">
        <w:t xml:space="preserve"> synergies</w:t>
      </w:r>
      <w:r>
        <w:rPr>
          <w:lang w:val="en-US"/>
        </w:rPr>
        <w:t xml:space="preserve"> compared to the accuracy </w:t>
      </w:r>
      <w:r w:rsidR="00F467D9">
        <w:rPr>
          <w:lang w:val="en-US"/>
        </w:rPr>
        <w:t>for</w:t>
      </w:r>
      <w:r>
        <w:rPr>
          <w:lang w:val="en-US"/>
        </w:rPr>
        <w:t xml:space="preserve"> the classifier using the raw data</w:t>
      </w:r>
      <w:r w:rsidRPr="002D67D0">
        <w:t xml:space="preserve">. All results correspond to classifiers based on kinematic data for predicting the </w:t>
      </w:r>
      <w:r w:rsidR="00E767FA">
        <w:t>family</w:t>
      </w:r>
      <w:r w:rsidRPr="002D67D0">
        <w:t xml:space="preserve"> object</w:t>
      </w:r>
      <w:r>
        <w:rPr>
          <w:lang w:val="en-US"/>
        </w:rPr>
        <w:t>.</w:t>
      </w:r>
      <w:r w:rsidR="00CC031A">
        <w:rPr>
          <w:lang w:val="en-US"/>
        </w:rPr>
        <w:t xml:space="preserve"> X axis</w:t>
      </w:r>
      <w:r w:rsidR="003B6F27">
        <w:rPr>
          <w:lang w:val="en-US"/>
        </w:rPr>
        <w:t xml:space="preserve"> corresponds to the percentage of synergies used for that result. Y axis shows classification accuracy (95% </w:t>
      </w:r>
      <w:proofErr w:type="spellStart"/>
      <w:r w:rsidR="003B6F27">
        <w:rPr>
          <w:lang w:val="en-US"/>
        </w:rPr>
        <w:t>c.i.</w:t>
      </w:r>
      <w:proofErr w:type="spellEnd"/>
      <w:r w:rsidR="003B6F27">
        <w:rPr>
          <w:lang w:val="en-US"/>
        </w:rPr>
        <w:t>) and variance explained.</w:t>
      </w:r>
      <w:r>
        <w:rPr>
          <w:lang w:val="en-US"/>
        </w:rPr>
        <w:t xml:space="preserve"> </w:t>
      </w:r>
      <w:r w:rsidR="00E767FA">
        <w:t xml:space="preserve">Figure </w:t>
      </w:r>
      <w:r w:rsidR="00E767FA">
        <w:rPr>
          <w:b/>
          <w:bCs/>
        </w:rPr>
        <w:t xml:space="preserve">(a) </w:t>
      </w:r>
      <w:r w:rsidR="00E767FA">
        <w:t xml:space="preserve">shows the accuracy evolution while discarding the less relevant synergies. As we can see, the classification accuracy remains quite consistent until we only keep the 40% of the original synergies and accuracy is still above chance levelswhen keeping only th most relevant 10%. Figure </w:t>
      </w:r>
      <w:r w:rsidR="00E767FA">
        <w:rPr>
          <w:b/>
          <w:bCs/>
        </w:rPr>
        <w:t xml:space="preserve">(b) </w:t>
      </w:r>
      <w:r w:rsidR="00E767FA">
        <w:t xml:space="preserve">correponds to the results discarding the most relevant synergies. Even the accuracy drops significantly after discarding just the most relevant 10% the accuracy remains above chance even with the less relevant 10% (accounting for almost 0% of the original variance). Both results suggest that even the less relevant synergies contain information that can be used by the classifier. </w:t>
      </w:r>
    </w:p>
    <w:p w14:paraId="7A835494" w14:textId="77777777" w:rsidR="00E767FA" w:rsidRDefault="00E767FA" w:rsidP="00950AEA">
      <w:pPr>
        <w:jc w:val="both"/>
      </w:pPr>
    </w:p>
    <w:p w14:paraId="29C69941" w14:textId="35492B47" w:rsidR="001F2594" w:rsidRDefault="002968C9" w:rsidP="00950AEA">
      <w:pPr>
        <w:jc w:val="both"/>
      </w:pPr>
      <w:r>
        <w:rPr>
          <w:noProof/>
        </w:rPr>
        <w:lastRenderedPageBreak/>
        <w:drawing>
          <wp:inline distT="0" distB="0" distL="0" distR="0" wp14:anchorId="530E0BEC" wp14:editId="0E10A491">
            <wp:extent cx="5731510" cy="2865755"/>
            <wp:effectExtent l="0" t="0" r="0" b="4445"/>
            <wp:docPr id="400452781" name="Picture 4"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2781" name="Picture 4" descr="A graph of different colored shap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sidR="00E767FA">
        <w:t xml:space="preserve"> </w:t>
      </w:r>
    </w:p>
    <w:p w14:paraId="0C2B542A" w14:textId="092A9B24" w:rsidR="002968C9" w:rsidRPr="00224E56" w:rsidRDefault="002968C9" w:rsidP="0022357F">
      <w:pPr>
        <w:jc w:val="both"/>
      </w:pPr>
      <w:r w:rsidRPr="00B804C9">
        <w:rPr>
          <w:b/>
          <w:bCs/>
          <w:u w:val="single"/>
          <w:lang w:val="en-US"/>
        </w:rPr>
        <w:t xml:space="preserve">Figure </w:t>
      </w:r>
      <w:r w:rsidR="0022357F">
        <w:rPr>
          <w:b/>
          <w:bCs/>
          <w:u w:val="single"/>
          <w:lang w:val="en-US"/>
        </w:rPr>
        <w:t>9</w:t>
      </w:r>
      <w:r w:rsidRPr="00B804C9">
        <w:rPr>
          <w:b/>
          <w:bCs/>
          <w:u w:val="single"/>
          <w:lang w:val="en-US"/>
        </w:rPr>
        <w:t>.</w:t>
      </w:r>
      <w:r w:rsidRPr="00B804C9">
        <w:rPr>
          <w:b/>
          <w:bCs/>
          <w:lang w:val="en-US"/>
        </w:rPr>
        <w:t xml:space="preserve"> </w:t>
      </w:r>
      <w:r>
        <w:rPr>
          <w:b/>
          <w:bCs/>
          <w:lang w:val="en-US"/>
        </w:rPr>
        <w:t xml:space="preserve"> </w:t>
      </w:r>
      <w:r>
        <w:rPr>
          <w:lang w:val="en-US"/>
        </w:rPr>
        <w:t xml:space="preserve">Absolute values for synergy scores for the higher and lower order synergies compared between fine and coarse EPs (as defined previously). Expected results (according to </w:t>
      </w:r>
      <w:r w:rsidR="00224E56">
        <w:rPr>
          <w:i/>
          <w:iCs/>
          <w:lang w:val="en-US"/>
        </w:rPr>
        <w:t xml:space="preserve">Yan et al. </w:t>
      </w:r>
      <w:r w:rsidR="00224E56">
        <w:rPr>
          <w:lang w:val="en-US"/>
        </w:rPr>
        <w:t>[2]) would be to have higher scores (higher recruitment) of low order synergies during coarse EPs while having higher recruitment of high order synergies during fine EPs. As it can be seen, results for synergies 1 and 3 suggest that this approach is not correct.</w:t>
      </w:r>
    </w:p>
    <w:p w14:paraId="448175E6" w14:textId="77777777" w:rsidR="00E767FA" w:rsidRDefault="00E767FA" w:rsidP="00950AEA">
      <w:pPr>
        <w:jc w:val="both"/>
      </w:pPr>
    </w:p>
    <w:p w14:paraId="28F682C3" w14:textId="77777777" w:rsidR="00E767FA" w:rsidRDefault="00E767FA" w:rsidP="00950AEA">
      <w:pPr>
        <w:jc w:val="both"/>
        <w:rPr>
          <w:lang w:val="en-US"/>
        </w:rPr>
      </w:pPr>
    </w:p>
    <w:p w14:paraId="42F21394" w14:textId="77777777" w:rsidR="001F2594" w:rsidRPr="001F2594" w:rsidRDefault="001F2594" w:rsidP="001F2594">
      <w:pPr>
        <w:widowControl w:val="0"/>
        <w:autoSpaceDE w:val="0"/>
        <w:autoSpaceDN w:val="0"/>
        <w:adjustRightInd w:val="0"/>
        <w:ind w:left="640" w:hanging="640"/>
        <w:rPr>
          <w:rFonts w:ascii="Calibri" w:hAnsi="Calibri" w:cs="Calibri"/>
          <w:noProof/>
          <w:kern w:val="0"/>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1F2594">
        <w:rPr>
          <w:rFonts w:ascii="Calibri" w:hAnsi="Calibri" w:cs="Calibri"/>
          <w:noProof/>
          <w:kern w:val="0"/>
          <w:lang w:val="en-GB"/>
        </w:rPr>
        <w:t>[1]</w:t>
      </w:r>
      <w:r w:rsidRPr="001F2594">
        <w:rPr>
          <w:rFonts w:ascii="Calibri" w:hAnsi="Calibri" w:cs="Calibri"/>
          <w:noProof/>
          <w:kern w:val="0"/>
          <w:lang w:val="en-GB"/>
        </w:rPr>
        <w:tab/>
        <w:t xml:space="preserve">R. L. Klatzky and S. J. Lederman, “The intelligent hand,” </w:t>
      </w:r>
      <w:r w:rsidRPr="001F2594">
        <w:rPr>
          <w:rFonts w:ascii="Calibri" w:hAnsi="Calibri" w:cs="Calibri"/>
          <w:i/>
          <w:iCs/>
          <w:noProof/>
          <w:kern w:val="0"/>
          <w:lang w:val="en-GB"/>
        </w:rPr>
        <w:t>Psychol. Learn. Motiv.</w:t>
      </w:r>
      <w:r w:rsidRPr="001F2594">
        <w:rPr>
          <w:rFonts w:ascii="Calibri" w:hAnsi="Calibri" w:cs="Calibri"/>
          <w:noProof/>
          <w:kern w:val="0"/>
          <w:lang w:val="en-GB"/>
        </w:rPr>
        <w:t>, vol. 21, pp. 121–151, 1987, doi: https://doi.org/10.1016/S0079-7421(08)60027-4.</w:t>
      </w:r>
    </w:p>
    <w:p w14:paraId="5BE5DABF" w14:textId="77777777" w:rsidR="001F2594" w:rsidRPr="001F2594" w:rsidRDefault="001F2594" w:rsidP="001F2594">
      <w:pPr>
        <w:widowControl w:val="0"/>
        <w:autoSpaceDE w:val="0"/>
        <w:autoSpaceDN w:val="0"/>
        <w:adjustRightInd w:val="0"/>
        <w:ind w:left="640" w:hanging="640"/>
        <w:rPr>
          <w:rFonts w:ascii="Calibri" w:hAnsi="Calibri" w:cs="Calibri"/>
          <w:noProof/>
        </w:rPr>
      </w:pPr>
      <w:r w:rsidRPr="001F2594">
        <w:rPr>
          <w:rFonts w:ascii="Calibri" w:hAnsi="Calibri" w:cs="Calibri"/>
          <w:noProof/>
          <w:kern w:val="0"/>
          <w:lang w:val="en-GB"/>
        </w:rPr>
        <w:t>[2]</w:t>
      </w:r>
      <w:r w:rsidRPr="001F2594">
        <w:rPr>
          <w:rFonts w:ascii="Calibri" w:hAnsi="Calibri" w:cs="Calibri"/>
          <w:noProof/>
          <w:kern w:val="0"/>
          <w:lang w:val="en-GB"/>
        </w:rPr>
        <w:tab/>
        <w:t xml:space="preserve">Y. Yan, J. M. Goodman, D. D. Moore, S. A. Solla, and S. J. Bensmaia, “Unexpected complexity of everyday manual behaviors,” </w:t>
      </w:r>
      <w:r w:rsidRPr="001F2594">
        <w:rPr>
          <w:rFonts w:ascii="Calibri" w:hAnsi="Calibri" w:cs="Calibri"/>
          <w:i/>
          <w:iCs/>
          <w:noProof/>
          <w:kern w:val="0"/>
          <w:lang w:val="en-GB"/>
        </w:rPr>
        <w:t>Nat. Commun.</w:t>
      </w:r>
      <w:r w:rsidRPr="001F2594">
        <w:rPr>
          <w:rFonts w:ascii="Calibri" w:hAnsi="Calibri" w:cs="Calibri"/>
          <w:noProof/>
          <w:kern w:val="0"/>
          <w:lang w:val="en-GB"/>
        </w:rPr>
        <w:t>, vol. 11, no. 1, pp. 1–8, 2020, doi: 10.1038/s41467-020-17404-0.</w:t>
      </w:r>
    </w:p>
    <w:p w14:paraId="1C05C441" w14:textId="77777777" w:rsidR="001F2594" w:rsidRDefault="001F2594" w:rsidP="001F2594">
      <w:pPr>
        <w:widowControl w:val="0"/>
        <w:autoSpaceDE w:val="0"/>
        <w:autoSpaceDN w:val="0"/>
        <w:adjustRightInd w:val="0"/>
        <w:ind w:left="640" w:hanging="640"/>
        <w:rPr>
          <w:lang w:val="en-US"/>
        </w:rPr>
      </w:pPr>
      <w:r>
        <w:rPr>
          <w:lang w:val="en-US"/>
        </w:rPr>
        <w:fldChar w:fldCharType="end"/>
      </w:r>
    </w:p>
    <w:p w14:paraId="2446B68D" w14:textId="77777777" w:rsidR="00CC031A" w:rsidRDefault="00CC031A" w:rsidP="00950AEA">
      <w:pPr>
        <w:jc w:val="both"/>
        <w:rPr>
          <w:lang w:val="en-US"/>
        </w:rPr>
      </w:pPr>
    </w:p>
    <w:p w14:paraId="47D5F6E5" w14:textId="77777777" w:rsidR="00CC031A" w:rsidRPr="002E2FCA" w:rsidRDefault="00CC031A" w:rsidP="00950AEA">
      <w:pPr>
        <w:jc w:val="both"/>
        <w:rPr>
          <w:lang w:val="en-US"/>
        </w:rPr>
      </w:pPr>
    </w:p>
    <w:sectPr w:rsidR="00CC031A" w:rsidRPr="002E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DA"/>
    <w:rsid w:val="00074BAE"/>
    <w:rsid w:val="001D0D24"/>
    <w:rsid w:val="001F2594"/>
    <w:rsid w:val="0022357F"/>
    <w:rsid w:val="00224E56"/>
    <w:rsid w:val="00232365"/>
    <w:rsid w:val="00256562"/>
    <w:rsid w:val="00283AB7"/>
    <w:rsid w:val="002968C9"/>
    <w:rsid w:val="002D67D0"/>
    <w:rsid w:val="002E1E98"/>
    <w:rsid w:val="002E2FCA"/>
    <w:rsid w:val="003B6F27"/>
    <w:rsid w:val="006004EB"/>
    <w:rsid w:val="0062592F"/>
    <w:rsid w:val="0068603E"/>
    <w:rsid w:val="007046CD"/>
    <w:rsid w:val="00734557"/>
    <w:rsid w:val="00737DB9"/>
    <w:rsid w:val="00775C2F"/>
    <w:rsid w:val="00824B75"/>
    <w:rsid w:val="008C443C"/>
    <w:rsid w:val="008D0076"/>
    <w:rsid w:val="00923A30"/>
    <w:rsid w:val="00950AEA"/>
    <w:rsid w:val="00973499"/>
    <w:rsid w:val="009F4F0A"/>
    <w:rsid w:val="00A27947"/>
    <w:rsid w:val="00B804C9"/>
    <w:rsid w:val="00C24A4D"/>
    <w:rsid w:val="00CB10DA"/>
    <w:rsid w:val="00CC031A"/>
    <w:rsid w:val="00CC53E5"/>
    <w:rsid w:val="00CE020D"/>
    <w:rsid w:val="00D85685"/>
    <w:rsid w:val="00D978D6"/>
    <w:rsid w:val="00DC4BD9"/>
    <w:rsid w:val="00E23E5F"/>
    <w:rsid w:val="00E767FA"/>
    <w:rsid w:val="00EE0397"/>
    <w:rsid w:val="00F03843"/>
    <w:rsid w:val="00F467D9"/>
    <w:rsid w:val="00F658B1"/>
    <w:rsid w:val="00F85079"/>
    <w:rsid w:val="00FB160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98DA"/>
  <w15:chartTrackingRefBased/>
  <w15:docId w15:val="{799FBF80-DEE5-C446-980D-B79F46A1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0D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CB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0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259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1F2594"/>
    <w:pPr>
      <w:spacing w:before="120"/>
    </w:pPr>
    <w:rPr>
      <w:rFonts w:cstheme="minorHAnsi"/>
      <w:b/>
      <w:bCs/>
      <w:i/>
      <w:iCs/>
    </w:rPr>
  </w:style>
  <w:style w:type="paragraph" w:styleId="TOC2">
    <w:name w:val="toc 2"/>
    <w:basedOn w:val="Normal"/>
    <w:next w:val="Normal"/>
    <w:autoRedefine/>
    <w:uiPriority w:val="39"/>
    <w:semiHidden/>
    <w:unhideWhenUsed/>
    <w:rsid w:val="001F259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F2594"/>
    <w:pPr>
      <w:ind w:left="480"/>
    </w:pPr>
    <w:rPr>
      <w:rFonts w:cstheme="minorHAnsi"/>
      <w:sz w:val="20"/>
      <w:szCs w:val="20"/>
    </w:rPr>
  </w:style>
  <w:style w:type="paragraph" w:styleId="TOC4">
    <w:name w:val="toc 4"/>
    <w:basedOn w:val="Normal"/>
    <w:next w:val="Normal"/>
    <w:autoRedefine/>
    <w:uiPriority w:val="39"/>
    <w:semiHidden/>
    <w:unhideWhenUsed/>
    <w:rsid w:val="001F2594"/>
    <w:pPr>
      <w:ind w:left="720"/>
    </w:pPr>
    <w:rPr>
      <w:rFonts w:cstheme="minorHAnsi"/>
      <w:sz w:val="20"/>
      <w:szCs w:val="20"/>
    </w:rPr>
  </w:style>
  <w:style w:type="paragraph" w:styleId="TOC5">
    <w:name w:val="toc 5"/>
    <w:basedOn w:val="Normal"/>
    <w:next w:val="Normal"/>
    <w:autoRedefine/>
    <w:uiPriority w:val="39"/>
    <w:semiHidden/>
    <w:unhideWhenUsed/>
    <w:rsid w:val="001F2594"/>
    <w:pPr>
      <w:ind w:left="960"/>
    </w:pPr>
    <w:rPr>
      <w:rFonts w:cstheme="minorHAnsi"/>
      <w:sz w:val="20"/>
      <w:szCs w:val="20"/>
    </w:rPr>
  </w:style>
  <w:style w:type="paragraph" w:styleId="TOC6">
    <w:name w:val="toc 6"/>
    <w:basedOn w:val="Normal"/>
    <w:next w:val="Normal"/>
    <w:autoRedefine/>
    <w:uiPriority w:val="39"/>
    <w:semiHidden/>
    <w:unhideWhenUsed/>
    <w:rsid w:val="001F2594"/>
    <w:pPr>
      <w:ind w:left="1200"/>
    </w:pPr>
    <w:rPr>
      <w:rFonts w:cstheme="minorHAnsi"/>
      <w:sz w:val="20"/>
      <w:szCs w:val="20"/>
    </w:rPr>
  </w:style>
  <w:style w:type="paragraph" w:styleId="TOC7">
    <w:name w:val="toc 7"/>
    <w:basedOn w:val="Normal"/>
    <w:next w:val="Normal"/>
    <w:autoRedefine/>
    <w:uiPriority w:val="39"/>
    <w:semiHidden/>
    <w:unhideWhenUsed/>
    <w:rsid w:val="001F2594"/>
    <w:pPr>
      <w:ind w:left="1440"/>
    </w:pPr>
    <w:rPr>
      <w:rFonts w:cstheme="minorHAnsi"/>
      <w:sz w:val="20"/>
      <w:szCs w:val="20"/>
    </w:rPr>
  </w:style>
  <w:style w:type="paragraph" w:styleId="TOC8">
    <w:name w:val="toc 8"/>
    <w:basedOn w:val="Normal"/>
    <w:next w:val="Normal"/>
    <w:autoRedefine/>
    <w:uiPriority w:val="39"/>
    <w:semiHidden/>
    <w:unhideWhenUsed/>
    <w:rsid w:val="001F2594"/>
    <w:pPr>
      <w:ind w:left="1680"/>
    </w:pPr>
    <w:rPr>
      <w:rFonts w:cstheme="minorHAnsi"/>
      <w:sz w:val="20"/>
      <w:szCs w:val="20"/>
    </w:rPr>
  </w:style>
  <w:style w:type="paragraph" w:styleId="TOC9">
    <w:name w:val="toc 9"/>
    <w:basedOn w:val="Normal"/>
    <w:next w:val="Normal"/>
    <w:autoRedefine/>
    <w:uiPriority w:val="39"/>
    <w:semiHidden/>
    <w:unhideWhenUsed/>
    <w:rsid w:val="001F259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246">
      <w:bodyDiv w:val="1"/>
      <w:marLeft w:val="0"/>
      <w:marRight w:val="0"/>
      <w:marTop w:val="0"/>
      <w:marBottom w:val="0"/>
      <w:divBdr>
        <w:top w:val="none" w:sz="0" w:space="0" w:color="auto"/>
        <w:left w:val="none" w:sz="0" w:space="0" w:color="auto"/>
        <w:bottom w:val="none" w:sz="0" w:space="0" w:color="auto"/>
        <w:right w:val="none" w:sz="0" w:space="0" w:color="auto"/>
      </w:divBdr>
      <w:divsChild>
        <w:div w:id="460151099">
          <w:marLeft w:val="0"/>
          <w:marRight w:val="0"/>
          <w:marTop w:val="0"/>
          <w:marBottom w:val="0"/>
          <w:divBdr>
            <w:top w:val="none" w:sz="0" w:space="0" w:color="auto"/>
            <w:left w:val="none" w:sz="0" w:space="0" w:color="auto"/>
            <w:bottom w:val="none" w:sz="0" w:space="0" w:color="auto"/>
            <w:right w:val="none" w:sz="0" w:space="0" w:color="auto"/>
          </w:divBdr>
          <w:divsChild>
            <w:div w:id="107938803">
              <w:marLeft w:val="0"/>
              <w:marRight w:val="0"/>
              <w:marTop w:val="0"/>
              <w:marBottom w:val="0"/>
              <w:divBdr>
                <w:top w:val="none" w:sz="0" w:space="0" w:color="auto"/>
                <w:left w:val="none" w:sz="0" w:space="0" w:color="auto"/>
                <w:bottom w:val="none" w:sz="0" w:space="0" w:color="auto"/>
                <w:right w:val="none" w:sz="0" w:space="0" w:color="auto"/>
              </w:divBdr>
              <w:divsChild>
                <w:div w:id="6533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BAC08-F91F-1345-BBF3-0D35A91F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Jayro Martínez Cerverò</dc:creator>
  <cp:keywords/>
  <dc:description/>
  <cp:lastModifiedBy>Jayro Martínez Cerverò</cp:lastModifiedBy>
  <cp:revision>11</cp:revision>
  <dcterms:created xsi:type="dcterms:W3CDTF">2023-12-07T16:55:00Z</dcterms:created>
  <dcterms:modified xsi:type="dcterms:W3CDTF">2024-05-17T07:48:00Z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802913a6-7258-347f-8d3e-d06463cc2b05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