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PAANYAYA SA TANGGAPAN NG PUNONG BARANGAY</w:t>
      </w:r>
    </w:p>
    <w:p>
      <w:pPr>
        <w:jc w:val="center"/>
        <w:spacing w:after="160"/>
      </w:pPr>
      <w:r>
        <w:rPr>
          <w:b/>
          <w:sz w:val="24"/>
        </w:rPr>
        <w:t>PRE-DOCKETING INVITATION (PAANYAYA)</w:t>
      </w:r>
    </w:p>
    <w:p>
      <w:pPr>
        <w:spacing w:after="60"/>
      </w:pPr>
      <w:r>
        <w:rPr>
          <w:b/>
        </w:rPr>
        <w:t>Talaan Blg.: </w:t>
      </w:r>
      <w:r>
        <w:t>{case_number}</w:t>
      </w:r>
    </w:p>
    <w:p>
      <w:pPr>
        <w:spacing w:after="100"/>
      </w:pPr>
      <w:r>
        <w:rPr>
          <w:b/>
        </w:rPr>
        <w:t>Ukol sa: </w:t>
      </w:r>
      <w:r>
        <w:t>{complaint_title}</w:t>
      </w:r>
    </w:p>
    <w:p>
      <w:pPr>
        <w:spacing w:after="40"/>
      </w:pPr>
      <w:r>
        <w:rPr>
          <w:b/>
        </w:rPr>
        <w:t>KAY: </w:t>
      </w:r>
      <w:r>
        <w:t>{respondents}</w:t>
      </w:r>
    </w:p>
    <w:p>
      <w:pPr>
        <w:ind w:left="360"/>
        <w:spacing w:after="160"/>
      </w:pPr>
      <w:r>
        <w:t>Nakatira sa: {respondent_address}</w:t>
      </w:r>
    </w:p>
    <w:p>
      <w:pPr>
        <w:jc w:val="both"/>
        <w:spacing w:after="120"/>
      </w:pPr>
      <w:r>
        <w:t>IKAW AY MALUGOD NA INAANYAYAHAN na magtungo sa Tanggapan ng Punong Barangay / Lupong Tagapamayapa sa </w:t>
      </w:r>
      <w:r>
        <w:rPr>
          <w:b/>
        </w:rPr>
        <w:t>{hearing_date}</w:t>
      </w:r>
      <w:r>
        <w:t> sa ganap na </w:t>
      </w:r>
      <w:r>
        <w:rPr>
          <w:b/>
        </w:rPr>
        <w:t>{hearing_time}</w:t>
      </w:r>
      <w:r>
        <w:t> ng umaga/hapon sa </w:t>
      </w:r>
      <w:r>
        <w:rPr>
          <w:b/>
        </w:rPr>
        <w:t>{venue}</w:t>
      </w:r>
      <w:r>
        <w:t> para sa isang paunang pag-uusap at paglilinaw ukol sa sumbong na inihain ni/nina </w:t>
      </w:r>
      <w:r>
        <w:rPr>
          <w:b/>
        </w:rPr>
        <w:t>{complainants}</w:t>
      </w:r>
      <w:r>
        <w:t>.</w:t>
      </w:r>
    </w:p>
    <w:p>
      <w:pPr>
        <w:jc w:val="both"/>
        <w:spacing w:after="180"/>
      </w:pPr>
      <w:r>
        <w:t>Ang paanyayang ito ay bahagi ng paunang hakbang sa ilalim ng Katarungang Pambarangay upang magkaroon ng maayos at mapayapang pag-uusap bago pormal na ipasok sa talaan ng Lupon.</w:t>
      </w:r>
    </w:p>
    <w:p>
      <w:pPr>
        <w:spacing w:after="180"/>
      </w:pPr>
      <w:r>
        <w:t>Ipinagkaloob ngayong ika-</w:t>
      </w:r>
      <w:r>
        <w:t>{date_today}</w:t>
      </w:r>
      <w:r>
        <w:t> sa Barangay Tumana, Lungsod ng Marikina.</w:t>
      </w:r>
    </w:p>
    <w:p>
      <w:pPr>
        <w:jc w:val="right"/>
        <w:spacing w:before="240" w:after="40"/>
      </w:pPr>
      <w:r>
        <w:rPr>
          <w:b/>
        </w:rPr>
        <w:t>{punong_barangay}</w:t>
      </w:r>
    </w:p>
    <w:p>
      <w:pPr>
        <w:jc w:val="right"/>
      </w:pPr>
      <w:r>
        <w:t>Punong Barangay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0" w:line="240" w:lineRule="auto"/>
    </w:pPr>
    <w:r><w:rPr><w:sz w:val="22"/><w:szCs w:val="22"/><w:b/></w:rPr><w:t>BARANGAY TUMANA</w:t></w:r>
  </w:p>
  <w:p>
    <w:pPr>
      <w:jc w:val="center"/>
      <w:spacing w:after="40" w:line="240" w:lineRule="auto"/>
    </w:pPr>
    <w:r><w:rPr><w:sz w:val="20"/><w:szCs w:val="20"/><w:b/></w:rPr><w:t>TANGGAPAN NG LUPONG TAGAPAMAYAPA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