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22C1B" w14:textId="77777777" w:rsidR="00FD68A9" w:rsidRPr="00FD68A9" w:rsidRDefault="00FD68A9" w:rsidP="00FD68A9">
      <w:pPr>
        <w:rPr>
          <w:b/>
          <w:bCs/>
        </w:rPr>
      </w:pPr>
      <w:r w:rsidRPr="00FD68A9">
        <w:rPr>
          <w:b/>
          <w:bCs/>
        </w:rPr>
        <w:t>How Probiotic Drinks Are Revolutionizing Digestive Health Habits</w:t>
      </w:r>
    </w:p>
    <w:p w14:paraId="7B82C7A5" w14:textId="77777777" w:rsidR="00FD68A9" w:rsidRPr="00FD68A9" w:rsidRDefault="00FD68A9" w:rsidP="00FD68A9">
      <w:r w:rsidRPr="00FD68A9">
        <w:t>In recent years, probiotic beverages have evolved from niche health products to mainstream staples in the global food and beverage landscape. These functional drinks are rich in live bacteria that support gut health, immune function, and metabolic balance. As consumers become more health-conscious and aware of the gut-brain connection, probiotic beverages are emerging as a key element of daily nutrition routines.</w:t>
      </w:r>
    </w:p>
    <w:p w14:paraId="6331FBDA" w14:textId="77777777" w:rsidR="00FD68A9" w:rsidRPr="00FD68A9" w:rsidRDefault="00FD68A9" w:rsidP="00FD68A9">
      <w:r w:rsidRPr="00FD68A9">
        <w:t xml:space="preserve">This growing awareness, combined with innovations in </w:t>
      </w:r>
      <w:proofErr w:type="spellStart"/>
      <w:r w:rsidRPr="00FD68A9">
        <w:t>flavor</w:t>
      </w:r>
      <w:proofErr w:type="spellEnd"/>
      <w:r w:rsidRPr="00FD68A9">
        <w:t>, formulation, and packaging, is propelling significant interest across both developed and developing regions.</w:t>
      </w:r>
    </w:p>
    <w:p w14:paraId="0F97BE3A" w14:textId="77777777" w:rsidR="00FD68A9" w:rsidRPr="00FD68A9" w:rsidRDefault="00FD68A9" w:rsidP="00FD68A9">
      <w:r w:rsidRPr="00FD68A9">
        <w:t xml:space="preserve">According to </w:t>
      </w:r>
      <w:proofErr w:type="spellStart"/>
      <w:r w:rsidRPr="00FD68A9">
        <w:t>Marketintelo</w:t>
      </w:r>
      <w:proofErr w:type="spellEnd"/>
      <w:r w:rsidRPr="00FD68A9">
        <w:t xml:space="preserve">, “The global </w:t>
      </w:r>
      <w:hyperlink r:id="rId5" w:tgtFrame="_new" w:history="1">
        <w:r w:rsidRPr="00FD68A9">
          <w:rPr>
            <w:rStyle w:val="Hyperlink"/>
            <w:b/>
            <w:bCs/>
          </w:rPr>
          <w:t>Probiotic Beverage Market</w:t>
        </w:r>
      </w:hyperlink>
      <w:r w:rsidRPr="00FD68A9">
        <w:t xml:space="preserve"> size was valued at approximately USD 23.4 billion in 2024 and is projected to reach USD 49.1 billion by 2032, growing at a compound annual growth rate (CAGR) of 9.6% during the forecast period 2024–2032.”</w:t>
      </w:r>
      <w:r w:rsidRPr="00FD68A9">
        <w:br/>
        <w:t xml:space="preserve">Read Full Research Study – </w:t>
      </w:r>
      <w:hyperlink r:id="rId6" w:tgtFrame="_new" w:history="1">
        <w:r w:rsidRPr="00FD68A9">
          <w:rPr>
            <w:rStyle w:val="Hyperlink"/>
          </w:rPr>
          <w:t>https://marketintelo.com/report/probiotic-beverage-market</w:t>
        </w:r>
      </w:hyperlink>
    </w:p>
    <w:p w14:paraId="4B697D5A" w14:textId="77777777" w:rsidR="00FD68A9" w:rsidRPr="00FD68A9" w:rsidRDefault="00FD68A9" w:rsidP="00FD68A9">
      <w:r w:rsidRPr="00FD68A9">
        <w:pict w14:anchorId="1CEA9059">
          <v:rect id="_x0000_i1091" style="width:0;height:1.5pt" o:hralign="center" o:hrstd="t" o:hr="t" fillcolor="#a0a0a0" stroked="f"/>
        </w:pict>
      </w:r>
    </w:p>
    <w:p w14:paraId="28FACE12" w14:textId="77777777" w:rsidR="00FD68A9" w:rsidRPr="00FD68A9" w:rsidRDefault="00FD68A9" w:rsidP="00FD68A9">
      <w:pPr>
        <w:rPr>
          <w:b/>
          <w:bCs/>
        </w:rPr>
      </w:pPr>
      <w:r w:rsidRPr="00FD68A9">
        <w:rPr>
          <w:b/>
          <w:bCs/>
        </w:rPr>
        <w:t>What Exactly Are Probiotic Beverages?</w:t>
      </w:r>
    </w:p>
    <w:p w14:paraId="38C0635A" w14:textId="77777777" w:rsidR="00FD68A9" w:rsidRPr="00FD68A9" w:rsidRDefault="00FD68A9" w:rsidP="00FD68A9">
      <w:r w:rsidRPr="00FD68A9">
        <w:t>Probiotic beverages are functional drinks infused with live microorganisms—mainly strains of Lactobacillus, Bifidobacterium, and Saccharomyces—that, when consumed in appropriate amounts, confer a health benefit to the host. These drinks range from traditional fermented beverages like kefir and kombucha to dairy-free innovations such as soy-based probiotic drinks and sparkling functional sodas.</w:t>
      </w:r>
    </w:p>
    <w:p w14:paraId="47B0533B" w14:textId="77777777" w:rsidR="00FD68A9" w:rsidRPr="00FD68A9" w:rsidRDefault="00FD68A9" w:rsidP="00FD68A9">
      <w:r w:rsidRPr="00FD68A9">
        <w:t>Their popularity is grounded in scientific research linking gut health with systemic wellness, including cognitive function, immunity, and even mood regulation.</w:t>
      </w:r>
    </w:p>
    <w:p w14:paraId="5275C89D" w14:textId="77777777" w:rsidR="00FD68A9" w:rsidRPr="00FD68A9" w:rsidRDefault="00FD68A9" w:rsidP="00FD68A9">
      <w:r w:rsidRPr="00FD68A9">
        <w:t xml:space="preserve">As per </w:t>
      </w:r>
      <w:proofErr w:type="spellStart"/>
      <w:r w:rsidRPr="00FD68A9">
        <w:t>Dataintelo’s</w:t>
      </w:r>
      <w:proofErr w:type="spellEnd"/>
      <w:r w:rsidRPr="00FD68A9">
        <w:t xml:space="preserve"> analysis, “The regional distribution of the </w:t>
      </w:r>
      <w:hyperlink r:id="rId7" w:tgtFrame="_new" w:history="1">
        <w:r w:rsidRPr="00FD68A9">
          <w:rPr>
            <w:rStyle w:val="Hyperlink"/>
            <w:b/>
            <w:bCs/>
          </w:rPr>
          <w:t>Probiotic Beverage Market</w:t>
        </w:r>
      </w:hyperlink>
      <w:r w:rsidRPr="00FD68A9">
        <w:t xml:space="preserve"> reflects varying consumer preferences, market shares, and growth rates. For instance, Europe accounted for approximately 27% of the market share in 2024, generating close to USD 6.3 billion.”</w:t>
      </w:r>
      <w:r w:rsidRPr="00FD68A9">
        <w:br/>
        <w:t xml:space="preserve">Read Full Research Study – </w:t>
      </w:r>
      <w:hyperlink r:id="rId8" w:tgtFrame="_new" w:history="1">
        <w:r w:rsidRPr="00FD68A9">
          <w:rPr>
            <w:rStyle w:val="Hyperlink"/>
          </w:rPr>
          <w:t>https://dataintelo.com/report/global-probiotic-beverage-market</w:t>
        </w:r>
      </w:hyperlink>
    </w:p>
    <w:p w14:paraId="0B9E0222" w14:textId="77777777" w:rsidR="00FD68A9" w:rsidRPr="00FD68A9" w:rsidRDefault="00FD68A9" w:rsidP="00FD68A9">
      <w:r w:rsidRPr="00FD68A9">
        <w:pict w14:anchorId="6DB06CE9">
          <v:rect id="_x0000_i1092" style="width:0;height:1.5pt" o:hralign="center" o:hrstd="t" o:hr="t" fillcolor="#a0a0a0" stroked="f"/>
        </w:pict>
      </w:r>
    </w:p>
    <w:p w14:paraId="47C496B0" w14:textId="77777777" w:rsidR="00FD68A9" w:rsidRPr="00FD68A9" w:rsidRDefault="00FD68A9" w:rsidP="00FD68A9">
      <w:pPr>
        <w:rPr>
          <w:b/>
          <w:bCs/>
        </w:rPr>
      </w:pPr>
      <w:r w:rsidRPr="00FD68A9">
        <w:rPr>
          <w:b/>
          <w:bCs/>
        </w:rPr>
        <w:t>Key Drivers of Demand</w:t>
      </w:r>
    </w:p>
    <w:p w14:paraId="5BD5AA96" w14:textId="77777777" w:rsidR="00FD68A9" w:rsidRPr="00FD68A9" w:rsidRDefault="00FD68A9" w:rsidP="00FD68A9">
      <w:pPr>
        <w:rPr>
          <w:b/>
          <w:bCs/>
        </w:rPr>
      </w:pPr>
      <w:r w:rsidRPr="00FD68A9">
        <w:rPr>
          <w:b/>
          <w:bCs/>
        </w:rPr>
        <w:t>1. Rising Consumer Focus on Digestive Wellness</w:t>
      </w:r>
    </w:p>
    <w:p w14:paraId="2EFE35BA" w14:textId="77777777" w:rsidR="00FD68A9" w:rsidRPr="00FD68A9" w:rsidRDefault="00FD68A9" w:rsidP="00FD68A9">
      <w:r w:rsidRPr="00FD68A9">
        <w:t xml:space="preserve">Consumers are increasingly prioritizing gut health, largely influenced by dietary education and a surge in self-care </w:t>
      </w:r>
      <w:proofErr w:type="spellStart"/>
      <w:r w:rsidRPr="00FD68A9">
        <w:t>behavior</w:t>
      </w:r>
      <w:proofErr w:type="spellEnd"/>
      <w:r w:rsidRPr="00FD68A9">
        <w:t>. Probiotic drinks offer a convenient way to introduce live cultures into the body without the need for pills or supplements.</w:t>
      </w:r>
    </w:p>
    <w:p w14:paraId="695FF65C" w14:textId="77777777" w:rsidR="00FD68A9" w:rsidRPr="00FD68A9" w:rsidRDefault="00FD68A9" w:rsidP="00FD68A9">
      <w:pPr>
        <w:rPr>
          <w:b/>
          <w:bCs/>
        </w:rPr>
      </w:pPr>
      <w:r w:rsidRPr="00FD68A9">
        <w:rPr>
          <w:b/>
          <w:bCs/>
        </w:rPr>
        <w:t>2. Innovation in Non-Dairy Alternatives</w:t>
      </w:r>
    </w:p>
    <w:p w14:paraId="217B26CD" w14:textId="77777777" w:rsidR="00FD68A9" w:rsidRPr="00FD68A9" w:rsidRDefault="00FD68A9" w:rsidP="00FD68A9">
      <w:r w:rsidRPr="00FD68A9">
        <w:t>While yogurt-based drinks have dominated the category historically, the rise of veganism and lactose intolerance has driven the creation of plant-based options. Coconut, almond, oat, and soy-based beverages now cater to a broader demographic without compromising probiotic functionality.</w:t>
      </w:r>
    </w:p>
    <w:p w14:paraId="0C8C5839" w14:textId="77777777" w:rsidR="00FD68A9" w:rsidRPr="00FD68A9" w:rsidRDefault="00FD68A9" w:rsidP="00FD68A9">
      <w:pPr>
        <w:rPr>
          <w:b/>
          <w:bCs/>
        </w:rPr>
      </w:pPr>
      <w:r w:rsidRPr="00FD68A9">
        <w:rPr>
          <w:b/>
          <w:bCs/>
        </w:rPr>
        <w:t>3. Expansion in E-commerce and Direct-to-Consumer Sales</w:t>
      </w:r>
    </w:p>
    <w:p w14:paraId="7F213CB3" w14:textId="77777777" w:rsidR="00FD68A9" w:rsidRPr="00FD68A9" w:rsidRDefault="00FD68A9" w:rsidP="00FD68A9">
      <w:r w:rsidRPr="00FD68A9">
        <w:t xml:space="preserve">Online distribution channels have expanded dramatically post-pandemic, offering consumers easier access to niche or locally unavailable probiotic drinks. Subscription models and cold-chain logistics have further </w:t>
      </w:r>
      <w:proofErr w:type="spellStart"/>
      <w:r w:rsidRPr="00FD68A9">
        <w:t>fueled</w:t>
      </w:r>
      <w:proofErr w:type="spellEnd"/>
      <w:r w:rsidRPr="00FD68A9">
        <w:t xml:space="preserve"> the segment’s growth potential.</w:t>
      </w:r>
    </w:p>
    <w:p w14:paraId="39228F7F" w14:textId="77777777" w:rsidR="00FD68A9" w:rsidRPr="00FD68A9" w:rsidRDefault="00FD68A9" w:rsidP="00FD68A9">
      <w:pPr>
        <w:rPr>
          <w:b/>
          <w:bCs/>
        </w:rPr>
      </w:pPr>
      <w:r w:rsidRPr="00FD68A9">
        <w:rPr>
          <w:b/>
          <w:bCs/>
        </w:rPr>
        <w:lastRenderedPageBreak/>
        <w:t>4. Scientific Backing and Label Transparency</w:t>
      </w:r>
    </w:p>
    <w:p w14:paraId="7DE7C756" w14:textId="77777777" w:rsidR="00FD68A9" w:rsidRPr="00FD68A9" w:rsidRDefault="00FD68A9" w:rsidP="00FD68A9">
      <w:r w:rsidRPr="00FD68A9">
        <w:t xml:space="preserve">Consumers are seeking products backed by clinical research and clear </w:t>
      </w:r>
      <w:proofErr w:type="spellStart"/>
      <w:r w:rsidRPr="00FD68A9">
        <w:t>labeling</w:t>
      </w:r>
      <w:proofErr w:type="spellEnd"/>
      <w:r w:rsidRPr="00FD68A9">
        <w:t xml:space="preserve"> on CFU (colony-forming unit) counts, specific strains used, and functional benefits. This demand for transparency has compelled brands to prioritize scientific validation and honest marketing.</w:t>
      </w:r>
    </w:p>
    <w:p w14:paraId="3FD72408" w14:textId="77777777" w:rsidR="00FD68A9" w:rsidRPr="00FD68A9" w:rsidRDefault="00FD68A9" w:rsidP="00FD68A9">
      <w:r w:rsidRPr="00FD68A9">
        <w:pict w14:anchorId="244F2AE5">
          <v:rect id="_x0000_i1093" style="width:0;height:1.5pt" o:hralign="center" o:hrstd="t" o:hr="t" fillcolor="#a0a0a0" stroked="f"/>
        </w:pict>
      </w:r>
    </w:p>
    <w:p w14:paraId="3B8E0F10" w14:textId="77777777" w:rsidR="00FD68A9" w:rsidRPr="00FD68A9" w:rsidRDefault="00FD68A9" w:rsidP="00FD68A9">
      <w:pPr>
        <w:rPr>
          <w:b/>
          <w:bCs/>
        </w:rPr>
      </w:pPr>
      <w:r w:rsidRPr="00FD68A9">
        <w:rPr>
          <w:b/>
          <w:bCs/>
        </w:rPr>
        <w:t>Major Product Segments and Categories</w:t>
      </w:r>
    </w:p>
    <w:p w14:paraId="53E4AF94" w14:textId="77777777" w:rsidR="00FD68A9" w:rsidRPr="00FD68A9" w:rsidRDefault="00FD68A9" w:rsidP="00FD68A9">
      <w:r w:rsidRPr="00FD68A9">
        <w:t>Probiotic beverages can be segmented by format, base, and distribution channel. Below are the most prominent classifications: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4395"/>
      </w:tblGrid>
      <w:tr w:rsidR="00FD68A9" w:rsidRPr="00FD68A9" w14:paraId="31A3588D" w14:textId="77777777">
        <w:trPr>
          <w:tblHeader/>
          <w:tblCellSpacing w:w="15" w:type="dxa"/>
        </w:trPr>
        <w:tc>
          <w:tcPr>
            <w:tcW w:w="0" w:type="auto"/>
            <w:vAlign w:val="center"/>
            <w:hideMark/>
          </w:tcPr>
          <w:p w14:paraId="0730A7A5" w14:textId="77777777" w:rsidR="00FD68A9" w:rsidRPr="00FD68A9" w:rsidRDefault="00FD68A9" w:rsidP="00FD68A9">
            <w:pPr>
              <w:rPr>
                <w:b/>
                <w:bCs/>
              </w:rPr>
            </w:pPr>
            <w:r w:rsidRPr="00FD68A9">
              <w:rPr>
                <w:b/>
                <w:bCs/>
              </w:rPr>
              <w:t>Category</w:t>
            </w:r>
          </w:p>
        </w:tc>
        <w:tc>
          <w:tcPr>
            <w:tcW w:w="0" w:type="auto"/>
            <w:vAlign w:val="center"/>
            <w:hideMark/>
          </w:tcPr>
          <w:p w14:paraId="709C277A" w14:textId="77777777" w:rsidR="00FD68A9" w:rsidRPr="00FD68A9" w:rsidRDefault="00FD68A9" w:rsidP="00FD68A9">
            <w:pPr>
              <w:rPr>
                <w:b/>
                <w:bCs/>
              </w:rPr>
            </w:pPr>
            <w:r w:rsidRPr="00FD68A9">
              <w:rPr>
                <w:b/>
                <w:bCs/>
              </w:rPr>
              <w:t>Examples</w:t>
            </w:r>
          </w:p>
        </w:tc>
      </w:tr>
      <w:tr w:rsidR="00FD68A9" w:rsidRPr="00FD68A9" w14:paraId="4B06CE1D" w14:textId="77777777">
        <w:trPr>
          <w:tblCellSpacing w:w="15" w:type="dxa"/>
        </w:trPr>
        <w:tc>
          <w:tcPr>
            <w:tcW w:w="0" w:type="auto"/>
            <w:vAlign w:val="center"/>
            <w:hideMark/>
          </w:tcPr>
          <w:p w14:paraId="6288DBFB" w14:textId="77777777" w:rsidR="00FD68A9" w:rsidRPr="00FD68A9" w:rsidRDefault="00FD68A9" w:rsidP="00FD68A9">
            <w:r w:rsidRPr="00FD68A9">
              <w:rPr>
                <w:b/>
                <w:bCs/>
              </w:rPr>
              <w:t>By Format</w:t>
            </w:r>
          </w:p>
        </w:tc>
        <w:tc>
          <w:tcPr>
            <w:tcW w:w="0" w:type="auto"/>
            <w:vAlign w:val="center"/>
            <w:hideMark/>
          </w:tcPr>
          <w:p w14:paraId="376C2651" w14:textId="77777777" w:rsidR="00FD68A9" w:rsidRPr="00FD68A9" w:rsidRDefault="00FD68A9" w:rsidP="00FD68A9">
            <w:r w:rsidRPr="00FD68A9">
              <w:t>Ready-to-drink (RTD), Powder Mix, Concentrates</w:t>
            </w:r>
          </w:p>
        </w:tc>
      </w:tr>
      <w:tr w:rsidR="00FD68A9" w:rsidRPr="00FD68A9" w14:paraId="527C3BA2" w14:textId="77777777">
        <w:trPr>
          <w:tblCellSpacing w:w="15" w:type="dxa"/>
        </w:trPr>
        <w:tc>
          <w:tcPr>
            <w:tcW w:w="0" w:type="auto"/>
            <w:vAlign w:val="center"/>
            <w:hideMark/>
          </w:tcPr>
          <w:p w14:paraId="5F1DFC76" w14:textId="77777777" w:rsidR="00FD68A9" w:rsidRPr="00FD68A9" w:rsidRDefault="00FD68A9" w:rsidP="00FD68A9">
            <w:r w:rsidRPr="00FD68A9">
              <w:rPr>
                <w:b/>
                <w:bCs/>
              </w:rPr>
              <w:t>By Base</w:t>
            </w:r>
          </w:p>
        </w:tc>
        <w:tc>
          <w:tcPr>
            <w:tcW w:w="0" w:type="auto"/>
            <w:vAlign w:val="center"/>
            <w:hideMark/>
          </w:tcPr>
          <w:p w14:paraId="1C6B111D" w14:textId="77777777" w:rsidR="00FD68A9" w:rsidRPr="00FD68A9" w:rsidRDefault="00FD68A9" w:rsidP="00FD68A9">
            <w:r w:rsidRPr="00FD68A9">
              <w:t>Dairy-based, Plant-based, Water-based</w:t>
            </w:r>
          </w:p>
        </w:tc>
      </w:tr>
      <w:tr w:rsidR="00FD68A9" w:rsidRPr="00FD68A9" w14:paraId="140CA7C3" w14:textId="77777777">
        <w:trPr>
          <w:tblCellSpacing w:w="15" w:type="dxa"/>
        </w:trPr>
        <w:tc>
          <w:tcPr>
            <w:tcW w:w="0" w:type="auto"/>
            <w:vAlign w:val="center"/>
            <w:hideMark/>
          </w:tcPr>
          <w:p w14:paraId="0308953D" w14:textId="77777777" w:rsidR="00FD68A9" w:rsidRPr="00FD68A9" w:rsidRDefault="00FD68A9" w:rsidP="00FD68A9">
            <w:r w:rsidRPr="00FD68A9">
              <w:rPr>
                <w:b/>
                <w:bCs/>
              </w:rPr>
              <w:t>By Type</w:t>
            </w:r>
          </w:p>
        </w:tc>
        <w:tc>
          <w:tcPr>
            <w:tcW w:w="0" w:type="auto"/>
            <w:vAlign w:val="center"/>
            <w:hideMark/>
          </w:tcPr>
          <w:p w14:paraId="7B520166" w14:textId="77777777" w:rsidR="00FD68A9" w:rsidRPr="00FD68A9" w:rsidRDefault="00FD68A9" w:rsidP="00FD68A9">
            <w:r w:rsidRPr="00FD68A9">
              <w:t>Kombucha, Kefir, Probiotic Shots, Yogurt Drinks</w:t>
            </w:r>
          </w:p>
        </w:tc>
      </w:tr>
      <w:tr w:rsidR="00FD68A9" w:rsidRPr="00FD68A9" w14:paraId="3D1D4B61" w14:textId="77777777">
        <w:trPr>
          <w:tblCellSpacing w:w="15" w:type="dxa"/>
        </w:trPr>
        <w:tc>
          <w:tcPr>
            <w:tcW w:w="0" w:type="auto"/>
            <w:vAlign w:val="center"/>
            <w:hideMark/>
          </w:tcPr>
          <w:p w14:paraId="448C9811" w14:textId="77777777" w:rsidR="00FD68A9" w:rsidRPr="00FD68A9" w:rsidRDefault="00FD68A9" w:rsidP="00FD68A9">
            <w:r w:rsidRPr="00FD68A9">
              <w:rPr>
                <w:b/>
                <w:bCs/>
              </w:rPr>
              <w:t>By Distribution</w:t>
            </w:r>
          </w:p>
        </w:tc>
        <w:tc>
          <w:tcPr>
            <w:tcW w:w="0" w:type="auto"/>
            <w:vAlign w:val="center"/>
            <w:hideMark/>
          </w:tcPr>
          <w:p w14:paraId="60B28ECD" w14:textId="77777777" w:rsidR="00FD68A9" w:rsidRPr="00FD68A9" w:rsidRDefault="00FD68A9" w:rsidP="00FD68A9">
            <w:r w:rsidRPr="00FD68A9">
              <w:t>Supermarkets, Online Retail, Health Stores</w:t>
            </w:r>
          </w:p>
        </w:tc>
      </w:tr>
    </w:tbl>
    <w:p w14:paraId="27E19A36" w14:textId="77777777" w:rsidR="00FD68A9" w:rsidRPr="00FD68A9" w:rsidRDefault="00FD68A9" w:rsidP="00FD68A9">
      <w:r w:rsidRPr="00FD68A9">
        <w:t xml:space="preserve">Among these, the </w:t>
      </w:r>
      <w:r w:rsidRPr="00FD68A9">
        <w:rPr>
          <w:b/>
          <w:bCs/>
        </w:rPr>
        <w:t>ready-to-drink (RTD)</w:t>
      </w:r>
      <w:r w:rsidRPr="00FD68A9">
        <w:t xml:space="preserve"> segment holds the largest market share due to its portability, convenience, and increased shelf presence.</w:t>
      </w:r>
    </w:p>
    <w:p w14:paraId="14E5D885" w14:textId="77777777" w:rsidR="00FD68A9" w:rsidRPr="00FD68A9" w:rsidRDefault="00FD68A9" w:rsidP="00FD68A9">
      <w:r w:rsidRPr="00FD68A9">
        <w:pict w14:anchorId="0C2D5D99">
          <v:rect id="_x0000_i1094" style="width:0;height:1.5pt" o:hralign="center" o:hrstd="t" o:hr="t" fillcolor="#a0a0a0" stroked="f"/>
        </w:pict>
      </w:r>
    </w:p>
    <w:p w14:paraId="50B0240E" w14:textId="77777777" w:rsidR="00FD68A9" w:rsidRPr="00FD68A9" w:rsidRDefault="00FD68A9" w:rsidP="00FD68A9">
      <w:pPr>
        <w:rPr>
          <w:b/>
          <w:bCs/>
        </w:rPr>
      </w:pPr>
      <w:r w:rsidRPr="00FD68A9">
        <w:rPr>
          <w:b/>
          <w:bCs/>
        </w:rPr>
        <w:t>Regional Demand Landscape</w:t>
      </w:r>
    </w:p>
    <w:p w14:paraId="106420B4" w14:textId="77777777" w:rsidR="00FD68A9" w:rsidRPr="00FD68A9" w:rsidRDefault="00FD68A9" w:rsidP="00FD68A9">
      <w:pPr>
        <w:rPr>
          <w:b/>
          <w:bCs/>
        </w:rPr>
      </w:pPr>
      <w:r w:rsidRPr="00FD68A9">
        <w:rPr>
          <w:b/>
          <w:bCs/>
        </w:rPr>
        <w:t>North America</w:t>
      </w:r>
    </w:p>
    <w:p w14:paraId="6C475747" w14:textId="77777777" w:rsidR="00FD68A9" w:rsidRPr="00FD68A9" w:rsidRDefault="00FD68A9" w:rsidP="00FD68A9">
      <w:r w:rsidRPr="00FD68A9">
        <w:t xml:space="preserve">The U.S. leads this region in terms of volume and innovation. Demand is driven by millennial and Gen Z consumers seeking gut-friendly drinks with unique </w:t>
      </w:r>
      <w:proofErr w:type="spellStart"/>
      <w:r w:rsidRPr="00FD68A9">
        <w:t>flavor</w:t>
      </w:r>
      <w:proofErr w:type="spellEnd"/>
      <w:r w:rsidRPr="00FD68A9">
        <w:t xml:space="preserve"> profiles. Brands like GT’s Living Foods and Health-Ade continue to innovate in kombucha and sparkling probiotic formats.</w:t>
      </w:r>
    </w:p>
    <w:p w14:paraId="07EC4059" w14:textId="77777777" w:rsidR="00FD68A9" w:rsidRPr="00FD68A9" w:rsidRDefault="00FD68A9" w:rsidP="00FD68A9">
      <w:pPr>
        <w:rPr>
          <w:b/>
          <w:bCs/>
        </w:rPr>
      </w:pPr>
      <w:r w:rsidRPr="00FD68A9">
        <w:rPr>
          <w:b/>
          <w:bCs/>
        </w:rPr>
        <w:t>Europe</w:t>
      </w:r>
    </w:p>
    <w:p w14:paraId="0D6D4C0F" w14:textId="77777777" w:rsidR="00FD68A9" w:rsidRPr="00FD68A9" w:rsidRDefault="00FD68A9" w:rsidP="00FD68A9">
      <w:r w:rsidRPr="00FD68A9">
        <w:t>Europe is notable for its early adoption of probiotic yogurt drinks and dairy-based formats. Countries like Germany and the UK are now seeing increasing demand for non-dairy probiotic drinks as flexitarian diets gain traction.</w:t>
      </w:r>
    </w:p>
    <w:p w14:paraId="350B97FE" w14:textId="77777777" w:rsidR="00FD68A9" w:rsidRPr="00FD68A9" w:rsidRDefault="00FD68A9" w:rsidP="00FD68A9">
      <w:pPr>
        <w:rPr>
          <w:b/>
          <w:bCs/>
        </w:rPr>
      </w:pPr>
      <w:r w:rsidRPr="00FD68A9">
        <w:rPr>
          <w:b/>
          <w:bCs/>
        </w:rPr>
        <w:t>Asia-Pacific</w:t>
      </w:r>
    </w:p>
    <w:p w14:paraId="18D2BC20" w14:textId="77777777" w:rsidR="00FD68A9" w:rsidRPr="00FD68A9" w:rsidRDefault="00FD68A9" w:rsidP="00FD68A9">
      <w:r w:rsidRPr="00FD68A9">
        <w:t>Japan, China, and South Korea dominate the APAC market, thanks to cultural acceptance of fermented foods. High urbanization rates and increasing disposable incomes are further enhancing product reach and frequency of purchase.</w:t>
      </w:r>
    </w:p>
    <w:p w14:paraId="6787CAB9" w14:textId="77777777" w:rsidR="00FD68A9" w:rsidRPr="00FD68A9" w:rsidRDefault="00FD68A9" w:rsidP="00FD68A9">
      <w:pPr>
        <w:rPr>
          <w:b/>
          <w:bCs/>
        </w:rPr>
      </w:pPr>
      <w:r w:rsidRPr="00FD68A9">
        <w:rPr>
          <w:b/>
          <w:bCs/>
        </w:rPr>
        <w:t>Latin America &amp; Middle East</w:t>
      </w:r>
    </w:p>
    <w:p w14:paraId="5F7916C3" w14:textId="77777777" w:rsidR="00FD68A9" w:rsidRPr="00FD68A9" w:rsidRDefault="00FD68A9" w:rsidP="00FD68A9">
      <w:r w:rsidRPr="00FD68A9">
        <w:t xml:space="preserve">Emerging demand in these regions is primarily </w:t>
      </w:r>
      <w:proofErr w:type="spellStart"/>
      <w:r w:rsidRPr="00FD68A9">
        <w:t>fueled</w:t>
      </w:r>
      <w:proofErr w:type="spellEnd"/>
      <w:r w:rsidRPr="00FD68A9">
        <w:t xml:space="preserve"> by awareness campaigns and increased supermarket penetration. The Middle East, in particular, is showing growing interest in gut health as part of broader wellness goals.</w:t>
      </w:r>
    </w:p>
    <w:p w14:paraId="436B24D6" w14:textId="77777777" w:rsidR="00FD68A9" w:rsidRPr="00FD68A9" w:rsidRDefault="00FD68A9" w:rsidP="00FD68A9">
      <w:r w:rsidRPr="00FD68A9">
        <w:pict w14:anchorId="436C7838">
          <v:rect id="_x0000_i1095" style="width:0;height:1.5pt" o:hralign="center" o:hrstd="t" o:hr="t" fillcolor="#a0a0a0" stroked="f"/>
        </w:pict>
      </w:r>
    </w:p>
    <w:p w14:paraId="0070F219" w14:textId="77777777" w:rsidR="00FD68A9" w:rsidRPr="00FD68A9" w:rsidRDefault="00FD68A9" w:rsidP="00FD68A9">
      <w:pPr>
        <w:rPr>
          <w:b/>
          <w:bCs/>
        </w:rPr>
      </w:pPr>
      <w:r w:rsidRPr="00FD68A9">
        <w:rPr>
          <w:b/>
          <w:bCs/>
        </w:rPr>
        <w:lastRenderedPageBreak/>
        <w:t>Technological Advancements Shaping the Market</w:t>
      </w:r>
    </w:p>
    <w:p w14:paraId="08046015" w14:textId="77777777" w:rsidR="00FD68A9" w:rsidRPr="00FD68A9" w:rsidRDefault="00FD68A9" w:rsidP="00FD68A9">
      <w:pPr>
        <w:rPr>
          <w:b/>
          <w:bCs/>
        </w:rPr>
      </w:pPr>
      <w:r w:rsidRPr="00FD68A9">
        <w:rPr>
          <w:b/>
          <w:bCs/>
        </w:rPr>
        <w:t>Encapsulation Technology</w:t>
      </w:r>
    </w:p>
    <w:p w14:paraId="2AE6C58C" w14:textId="77777777" w:rsidR="00FD68A9" w:rsidRPr="00FD68A9" w:rsidRDefault="00FD68A9" w:rsidP="00FD68A9">
      <w:r w:rsidRPr="00FD68A9">
        <w:t>Microencapsulation techniques are now being used to protect probiotic strains from heat, acidity, and oxygen exposure—ensuring viability throughout the shelf life and gastrointestinal passage.</w:t>
      </w:r>
    </w:p>
    <w:p w14:paraId="72354883" w14:textId="77777777" w:rsidR="00FD68A9" w:rsidRPr="00FD68A9" w:rsidRDefault="00FD68A9" w:rsidP="00FD68A9">
      <w:pPr>
        <w:rPr>
          <w:b/>
          <w:bCs/>
        </w:rPr>
      </w:pPr>
      <w:proofErr w:type="spellStart"/>
      <w:r w:rsidRPr="00FD68A9">
        <w:rPr>
          <w:b/>
          <w:bCs/>
        </w:rPr>
        <w:t>Synbiotic</w:t>
      </w:r>
      <w:proofErr w:type="spellEnd"/>
      <w:r w:rsidRPr="00FD68A9">
        <w:rPr>
          <w:b/>
          <w:bCs/>
        </w:rPr>
        <w:t xml:space="preserve"> Formulations</w:t>
      </w:r>
    </w:p>
    <w:p w14:paraId="012BB813" w14:textId="77777777" w:rsidR="00FD68A9" w:rsidRPr="00FD68A9" w:rsidRDefault="00FD68A9" w:rsidP="00FD68A9">
      <w:r w:rsidRPr="00FD68A9">
        <w:t xml:space="preserve">Innovators are blending probiotics with </w:t>
      </w:r>
      <w:r w:rsidRPr="00FD68A9">
        <w:rPr>
          <w:b/>
          <w:bCs/>
        </w:rPr>
        <w:t>prebiotics</w:t>
      </w:r>
      <w:r w:rsidRPr="00FD68A9">
        <w:t xml:space="preserve"> (non-digestible </w:t>
      </w:r>
      <w:proofErr w:type="spellStart"/>
      <w:r w:rsidRPr="00FD68A9">
        <w:t>fibers</w:t>
      </w:r>
      <w:proofErr w:type="spellEnd"/>
      <w:r w:rsidRPr="00FD68A9">
        <w:t xml:space="preserve"> that fuel probiotics) to create </w:t>
      </w:r>
      <w:proofErr w:type="spellStart"/>
      <w:r w:rsidRPr="00FD68A9">
        <w:t>synbiotic</w:t>
      </w:r>
      <w:proofErr w:type="spellEnd"/>
      <w:r w:rsidRPr="00FD68A9">
        <w:t xml:space="preserve"> drinks. These combinations improve effectiveness and appeal to health-savvy consumers seeking holistic digestive support.</w:t>
      </w:r>
    </w:p>
    <w:p w14:paraId="0541711F" w14:textId="77777777" w:rsidR="00FD68A9" w:rsidRPr="00FD68A9" w:rsidRDefault="00FD68A9" w:rsidP="00FD68A9">
      <w:pPr>
        <w:rPr>
          <w:b/>
          <w:bCs/>
        </w:rPr>
      </w:pPr>
      <w:r w:rsidRPr="00FD68A9">
        <w:rPr>
          <w:b/>
          <w:bCs/>
        </w:rPr>
        <w:t>Cold Chain Innovations</w:t>
      </w:r>
    </w:p>
    <w:p w14:paraId="3A9D58ED" w14:textId="77777777" w:rsidR="00FD68A9" w:rsidRPr="00FD68A9" w:rsidRDefault="00FD68A9" w:rsidP="00FD68A9">
      <w:r w:rsidRPr="00FD68A9">
        <w:t>To maintain live bacteria counts, especially in non-ambient shelf offerings, advanced cold-chain solutions are becoming more affordable and widespread—allowing for extended distribution without compromising quality.</w:t>
      </w:r>
    </w:p>
    <w:p w14:paraId="416956F2" w14:textId="77777777" w:rsidR="00FD68A9" w:rsidRPr="00FD68A9" w:rsidRDefault="00FD68A9" w:rsidP="00FD68A9">
      <w:r w:rsidRPr="00FD68A9">
        <w:pict w14:anchorId="334CDAAE">
          <v:rect id="_x0000_i1096" style="width:0;height:1.5pt" o:hralign="center" o:hrstd="t" o:hr="t" fillcolor="#a0a0a0" stroked="f"/>
        </w:pict>
      </w:r>
    </w:p>
    <w:p w14:paraId="01394A26" w14:textId="77777777" w:rsidR="00FD68A9" w:rsidRPr="00FD68A9" w:rsidRDefault="00FD68A9" w:rsidP="00FD68A9">
      <w:pPr>
        <w:rPr>
          <w:b/>
          <w:bCs/>
        </w:rPr>
      </w:pPr>
      <w:r w:rsidRPr="00FD68A9">
        <w:rPr>
          <w:b/>
          <w:bCs/>
        </w:rPr>
        <w:t>Challenges Facing the Segment</w:t>
      </w:r>
    </w:p>
    <w:p w14:paraId="0DDE4B2E" w14:textId="77777777" w:rsidR="00FD68A9" w:rsidRPr="00FD68A9" w:rsidRDefault="00FD68A9" w:rsidP="00FD68A9">
      <w:r w:rsidRPr="00FD68A9">
        <w:t>Despite promising prospects, the probiotic beverage category is not without its challenges:</w:t>
      </w:r>
    </w:p>
    <w:p w14:paraId="23F6E01B" w14:textId="77777777" w:rsidR="00FD68A9" w:rsidRPr="00FD68A9" w:rsidRDefault="00FD68A9" w:rsidP="00FD68A9">
      <w:pPr>
        <w:numPr>
          <w:ilvl w:val="0"/>
          <w:numId w:val="1"/>
        </w:numPr>
      </w:pPr>
      <w:r w:rsidRPr="00FD68A9">
        <w:rPr>
          <w:b/>
          <w:bCs/>
        </w:rPr>
        <w:t>Stability and Shelf Life:</w:t>
      </w:r>
      <w:r w:rsidRPr="00FD68A9">
        <w:t xml:space="preserve"> Probiotics are sensitive to temperature and </w:t>
      </w:r>
      <w:proofErr w:type="spellStart"/>
      <w:r w:rsidRPr="00FD68A9">
        <w:t>pH.</w:t>
      </w:r>
      <w:proofErr w:type="spellEnd"/>
      <w:r w:rsidRPr="00FD68A9">
        <w:t xml:space="preserve"> Ensuring live strains remain viable by the time of consumption is a technical hurdle for many manufacturers.</w:t>
      </w:r>
    </w:p>
    <w:p w14:paraId="51003A38" w14:textId="77777777" w:rsidR="00FD68A9" w:rsidRPr="00FD68A9" w:rsidRDefault="00FD68A9" w:rsidP="00FD68A9">
      <w:pPr>
        <w:numPr>
          <w:ilvl w:val="0"/>
          <w:numId w:val="1"/>
        </w:numPr>
      </w:pPr>
      <w:proofErr w:type="spellStart"/>
      <w:r w:rsidRPr="00FD68A9">
        <w:rPr>
          <w:b/>
          <w:bCs/>
        </w:rPr>
        <w:t>Labeling</w:t>
      </w:r>
      <w:proofErr w:type="spellEnd"/>
      <w:r w:rsidRPr="00FD68A9">
        <w:rPr>
          <w:b/>
          <w:bCs/>
        </w:rPr>
        <w:t xml:space="preserve"> Regulations:</w:t>
      </w:r>
      <w:r w:rsidRPr="00FD68A9">
        <w:t xml:space="preserve"> Globally, there’s a lack of unified standards around what qualifies as a "probiotic," creating inconsistency in branding and consumer trust.</w:t>
      </w:r>
    </w:p>
    <w:p w14:paraId="10C666B4" w14:textId="77777777" w:rsidR="00FD68A9" w:rsidRPr="00FD68A9" w:rsidRDefault="00FD68A9" w:rsidP="00FD68A9">
      <w:pPr>
        <w:numPr>
          <w:ilvl w:val="0"/>
          <w:numId w:val="1"/>
        </w:numPr>
      </w:pPr>
      <w:r w:rsidRPr="00FD68A9">
        <w:rPr>
          <w:b/>
          <w:bCs/>
        </w:rPr>
        <w:t>High Production Costs:</w:t>
      </w:r>
      <w:r w:rsidRPr="00FD68A9">
        <w:t xml:space="preserve"> Due to fermentation, strain cultivation, and cold storage needs, producing probiotic drinks can be costlier than conventional beverages.</w:t>
      </w:r>
    </w:p>
    <w:p w14:paraId="265EB5D9" w14:textId="77777777" w:rsidR="00FD68A9" w:rsidRPr="00FD68A9" w:rsidRDefault="00FD68A9" w:rsidP="00FD68A9">
      <w:pPr>
        <w:numPr>
          <w:ilvl w:val="0"/>
          <w:numId w:val="1"/>
        </w:numPr>
      </w:pPr>
      <w:r w:rsidRPr="00FD68A9">
        <w:rPr>
          <w:b/>
          <w:bCs/>
        </w:rPr>
        <w:t xml:space="preserve">Consumer </w:t>
      </w:r>
      <w:proofErr w:type="spellStart"/>
      <w:r w:rsidRPr="00FD68A9">
        <w:rPr>
          <w:b/>
          <w:bCs/>
        </w:rPr>
        <w:t>Skepticism</w:t>
      </w:r>
      <w:proofErr w:type="spellEnd"/>
      <w:r w:rsidRPr="00FD68A9">
        <w:rPr>
          <w:b/>
          <w:bCs/>
        </w:rPr>
        <w:t>:</w:t>
      </w:r>
      <w:r w:rsidRPr="00FD68A9">
        <w:t xml:space="preserve"> Some buyers remain cautious about the efficacy of commercial probiotic drinks, especially when health claims aren’t supported by independent studies.</w:t>
      </w:r>
    </w:p>
    <w:p w14:paraId="1A7310FD" w14:textId="77777777" w:rsidR="00FD68A9" w:rsidRPr="00FD68A9" w:rsidRDefault="00FD68A9" w:rsidP="00FD68A9">
      <w:r w:rsidRPr="00FD68A9">
        <w:pict w14:anchorId="266E12FD">
          <v:rect id="_x0000_i1097" style="width:0;height:1.5pt" o:hralign="center" o:hrstd="t" o:hr="t" fillcolor="#a0a0a0" stroked="f"/>
        </w:pict>
      </w:r>
    </w:p>
    <w:p w14:paraId="4B5F7481" w14:textId="77777777" w:rsidR="00FD68A9" w:rsidRPr="00FD68A9" w:rsidRDefault="00FD68A9" w:rsidP="00FD68A9">
      <w:pPr>
        <w:rPr>
          <w:b/>
          <w:bCs/>
        </w:rPr>
      </w:pPr>
      <w:r w:rsidRPr="00FD68A9">
        <w:rPr>
          <w:b/>
          <w:bCs/>
        </w:rPr>
        <w:t>Who Are the Key Players?</w:t>
      </w:r>
    </w:p>
    <w:p w14:paraId="2805545A" w14:textId="77777777" w:rsidR="00FD68A9" w:rsidRPr="00FD68A9" w:rsidRDefault="00FD68A9" w:rsidP="00FD68A9">
      <w:r w:rsidRPr="00FD68A9">
        <w:t>The market comprises global conglomerates and niche startups alike, each trying to carve their space through product innovation and consumer engagement:</w:t>
      </w:r>
    </w:p>
    <w:p w14:paraId="6F81D237" w14:textId="77777777" w:rsidR="00FD68A9" w:rsidRPr="00FD68A9" w:rsidRDefault="00FD68A9" w:rsidP="00FD68A9">
      <w:pPr>
        <w:numPr>
          <w:ilvl w:val="0"/>
          <w:numId w:val="2"/>
        </w:numPr>
      </w:pPr>
      <w:r w:rsidRPr="00FD68A9">
        <w:rPr>
          <w:b/>
          <w:bCs/>
        </w:rPr>
        <w:t>Yakult Honsha Co. Ltd.</w:t>
      </w:r>
      <w:r w:rsidRPr="00FD68A9">
        <w:t xml:space="preserve"> – A global pioneer in probiotic dairy beverages.</w:t>
      </w:r>
    </w:p>
    <w:p w14:paraId="626A79CB" w14:textId="77777777" w:rsidR="00FD68A9" w:rsidRPr="00FD68A9" w:rsidRDefault="00FD68A9" w:rsidP="00FD68A9">
      <w:pPr>
        <w:numPr>
          <w:ilvl w:val="0"/>
          <w:numId w:val="2"/>
        </w:numPr>
      </w:pPr>
      <w:r w:rsidRPr="00FD68A9">
        <w:rPr>
          <w:b/>
          <w:bCs/>
        </w:rPr>
        <w:t>PepsiCo (</w:t>
      </w:r>
      <w:proofErr w:type="spellStart"/>
      <w:r w:rsidRPr="00FD68A9">
        <w:rPr>
          <w:b/>
          <w:bCs/>
        </w:rPr>
        <w:t>Kevita</w:t>
      </w:r>
      <w:proofErr w:type="spellEnd"/>
      <w:r w:rsidRPr="00FD68A9">
        <w:rPr>
          <w:b/>
          <w:bCs/>
        </w:rPr>
        <w:t>)</w:t>
      </w:r>
      <w:r w:rsidRPr="00FD68A9">
        <w:t xml:space="preserve"> – Focused on sparkling probiotic drinks with a functional twist.</w:t>
      </w:r>
    </w:p>
    <w:p w14:paraId="29CF5DA7" w14:textId="77777777" w:rsidR="00FD68A9" w:rsidRPr="00FD68A9" w:rsidRDefault="00FD68A9" w:rsidP="00FD68A9">
      <w:pPr>
        <w:numPr>
          <w:ilvl w:val="0"/>
          <w:numId w:val="2"/>
        </w:numPr>
      </w:pPr>
      <w:r w:rsidRPr="00FD68A9">
        <w:rPr>
          <w:b/>
          <w:bCs/>
        </w:rPr>
        <w:t>Danone S.A.</w:t>
      </w:r>
      <w:r w:rsidRPr="00FD68A9">
        <w:t xml:space="preserve"> – Maker of </w:t>
      </w:r>
      <w:proofErr w:type="spellStart"/>
      <w:r w:rsidRPr="00FD68A9">
        <w:t>Activia</w:t>
      </w:r>
      <w:proofErr w:type="spellEnd"/>
      <w:r w:rsidRPr="00FD68A9">
        <w:t xml:space="preserve"> and other widely distributed yogurt drinks.</w:t>
      </w:r>
    </w:p>
    <w:p w14:paraId="1348A1A4" w14:textId="77777777" w:rsidR="00FD68A9" w:rsidRPr="00FD68A9" w:rsidRDefault="00FD68A9" w:rsidP="00FD68A9">
      <w:pPr>
        <w:numPr>
          <w:ilvl w:val="0"/>
          <w:numId w:val="2"/>
        </w:numPr>
      </w:pPr>
      <w:r w:rsidRPr="00FD68A9">
        <w:rPr>
          <w:b/>
          <w:bCs/>
        </w:rPr>
        <w:t>Bio-K Plus International</w:t>
      </w:r>
      <w:r w:rsidRPr="00FD68A9">
        <w:t xml:space="preserve"> – Offers capsule and drinkable formats with verified clinical backing.</w:t>
      </w:r>
    </w:p>
    <w:p w14:paraId="646DDF7A" w14:textId="77777777" w:rsidR="00FD68A9" w:rsidRPr="00FD68A9" w:rsidRDefault="00FD68A9" w:rsidP="00FD68A9">
      <w:pPr>
        <w:numPr>
          <w:ilvl w:val="0"/>
          <w:numId w:val="2"/>
        </w:numPr>
      </w:pPr>
      <w:proofErr w:type="spellStart"/>
      <w:r w:rsidRPr="00FD68A9">
        <w:rPr>
          <w:b/>
          <w:bCs/>
        </w:rPr>
        <w:t>NextFoods</w:t>
      </w:r>
      <w:proofErr w:type="spellEnd"/>
      <w:r w:rsidRPr="00FD68A9">
        <w:rPr>
          <w:b/>
          <w:bCs/>
        </w:rPr>
        <w:t xml:space="preserve"> (</w:t>
      </w:r>
      <w:proofErr w:type="spellStart"/>
      <w:r w:rsidRPr="00FD68A9">
        <w:rPr>
          <w:b/>
          <w:bCs/>
        </w:rPr>
        <w:t>GoodBelly</w:t>
      </w:r>
      <w:proofErr w:type="spellEnd"/>
      <w:r w:rsidRPr="00FD68A9">
        <w:rPr>
          <w:b/>
          <w:bCs/>
        </w:rPr>
        <w:t>)</w:t>
      </w:r>
      <w:r w:rsidRPr="00FD68A9">
        <w:t xml:space="preserve"> – Known for fruit-based, vegan probiotic beverages.</w:t>
      </w:r>
    </w:p>
    <w:p w14:paraId="66232F6C" w14:textId="77777777" w:rsidR="00FD68A9" w:rsidRPr="00FD68A9" w:rsidRDefault="00FD68A9" w:rsidP="00FD68A9">
      <w:r w:rsidRPr="00FD68A9">
        <w:t>These companies are investing heavily in R&amp;D, expanding into untapped markets, and developing strain-specific formulations for enhanced functionality.</w:t>
      </w:r>
    </w:p>
    <w:p w14:paraId="6EDF35D9" w14:textId="77777777" w:rsidR="00FD68A9" w:rsidRPr="00FD68A9" w:rsidRDefault="00FD68A9" w:rsidP="00FD68A9">
      <w:r w:rsidRPr="00FD68A9">
        <w:pict w14:anchorId="67DB3C37">
          <v:rect id="_x0000_i1098" style="width:0;height:1.5pt" o:hralign="center" o:hrstd="t" o:hr="t" fillcolor="#a0a0a0" stroked="f"/>
        </w:pict>
      </w:r>
    </w:p>
    <w:p w14:paraId="0421AA17" w14:textId="77777777" w:rsidR="00FD68A9" w:rsidRPr="00FD68A9" w:rsidRDefault="00FD68A9" w:rsidP="00FD68A9">
      <w:pPr>
        <w:rPr>
          <w:b/>
          <w:bCs/>
        </w:rPr>
      </w:pPr>
      <w:r w:rsidRPr="00FD68A9">
        <w:rPr>
          <w:b/>
          <w:bCs/>
        </w:rPr>
        <w:lastRenderedPageBreak/>
        <w:t>Sustainability in Packaging and Sourcing</w:t>
      </w:r>
    </w:p>
    <w:p w14:paraId="1A86E955" w14:textId="77777777" w:rsidR="00FD68A9" w:rsidRPr="00FD68A9" w:rsidRDefault="00FD68A9" w:rsidP="00FD68A9">
      <w:r w:rsidRPr="00FD68A9">
        <w:t>Sustainability is increasingly becoming a differentiator in the probiotic beverage sector. Brands are adopting:</w:t>
      </w:r>
    </w:p>
    <w:p w14:paraId="44B22577" w14:textId="77777777" w:rsidR="00FD68A9" w:rsidRPr="00FD68A9" w:rsidRDefault="00FD68A9" w:rsidP="00FD68A9">
      <w:pPr>
        <w:numPr>
          <w:ilvl w:val="0"/>
          <w:numId w:val="3"/>
        </w:numPr>
      </w:pPr>
      <w:r w:rsidRPr="00FD68A9">
        <w:rPr>
          <w:b/>
          <w:bCs/>
        </w:rPr>
        <w:t>Recyclable and biodegradable packaging</w:t>
      </w:r>
      <w:r w:rsidRPr="00FD68A9">
        <w:t xml:space="preserve"> to reduce landfill contributions</w:t>
      </w:r>
    </w:p>
    <w:p w14:paraId="015419EE" w14:textId="77777777" w:rsidR="00FD68A9" w:rsidRPr="00FD68A9" w:rsidRDefault="00FD68A9" w:rsidP="00FD68A9">
      <w:pPr>
        <w:numPr>
          <w:ilvl w:val="0"/>
          <w:numId w:val="3"/>
        </w:numPr>
      </w:pPr>
      <w:r w:rsidRPr="00FD68A9">
        <w:rPr>
          <w:b/>
          <w:bCs/>
        </w:rPr>
        <w:t>Ethical sourcing of ingredients</w:t>
      </w:r>
      <w:r w:rsidRPr="00FD68A9">
        <w:t>, especially for plant-based alternatives</w:t>
      </w:r>
    </w:p>
    <w:p w14:paraId="12736ED2" w14:textId="77777777" w:rsidR="00FD68A9" w:rsidRPr="00FD68A9" w:rsidRDefault="00FD68A9" w:rsidP="00FD68A9">
      <w:pPr>
        <w:numPr>
          <w:ilvl w:val="0"/>
          <w:numId w:val="3"/>
        </w:numPr>
      </w:pPr>
      <w:r w:rsidRPr="00FD68A9">
        <w:rPr>
          <w:b/>
          <w:bCs/>
        </w:rPr>
        <w:t>Water and energy-efficient manufacturing</w:t>
      </w:r>
      <w:r w:rsidRPr="00FD68A9">
        <w:t xml:space="preserve"> techniques to reduce carbon footprints</w:t>
      </w:r>
    </w:p>
    <w:p w14:paraId="716F19F9" w14:textId="77777777" w:rsidR="00FD68A9" w:rsidRPr="00FD68A9" w:rsidRDefault="00FD68A9" w:rsidP="00FD68A9">
      <w:r w:rsidRPr="00FD68A9">
        <w:t>These environmental credentials not only help with compliance but also resonate with eco-conscious consumers.</w:t>
      </w:r>
    </w:p>
    <w:p w14:paraId="4E4446D3" w14:textId="77777777" w:rsidR="00FD68A9" w:rsidRPr="00FD68A9" w:rsidRDefault="00FD68A9" w:rsidP="00FD68A9">
      <w:r w:rsidRPr="00FD68A9">
        <w:pict w14:anchorId="60A1EEAF">
          <v:rect id="_x0000_i1099" style="width:0;height:1.5pt" o:hralign="center" o:hrstd="t" o:hr="t" fillcolor="#a0a0a0" stroked="f"/>
        </w:pict>
      </w:r>
    </w:p>
    <w:p w14:paraId="2C5DFB53" w14:textId="77777777" w:rsidR="00FD68A9" w:rsidRPr="00FD68A9" w:rsidRDefault="00FD68A9" w:rsidP="00FD68A9">
      <w:pPr>
        <w:rPr>
          <w:b/>
          <w:bCs/>
        </w:rPr>
      </w:pPr>
      <w:r w:rsidRPr="00FD68A9">
        <w:rPr>
          <w:b/>
          <w:bCs/>
        </w:rPr>
        <w:t>The Future of Functional Beverages</w:t>
      </w:r>
    </w:p>
    <w:p w14:paraId="2C7F5D7F" w14:textId="77777777" w:rsidR="00FD68A9" w:rsidRPr="00FD68A9" w:rsidRDefault="00FD68A9" w:rsidP="00FD68A9">
      <w:r w:rsidRPr="00FD68A9">
        <w:t>The next decade is poised to see probiotic beverages intersect with broader wellness trends such as:</w:t>
      </w:r>
    </w:p>
    <w:p w14:paraId="2D328969" w14:textId="77777777" w:rsidR="00FD68A9" w:rsidRPr="00FD68A9" w:rsidRDefault="00FD68A9" w:rsidP="00FD68A9">
      <w:pPr>
        <w:numPr>
          <w:ilvl w:val="0"/>
          <w:numId w:val="4"/>
        </w:numPr>
      </w:pPr>
      <w:r w:rsidRPr="00FD68A9">
        <w:rPr>
          <w:b/>
          <w:bCs/>
        </w:rPr>
        <w:t>Mental health and mood-enhancing drinks</w:t>
      </w:r>
      <w:r w:rsidRPr="00FD68A9">
        <w:t>, leveraging the gut-brain axis</w:t>
      </w:r>
    </w:p>
    <w:p w14:paraId="06CE446F" w14:textId="77777777" w:rsidR="00FD68A9" w:rsidRPr="00FD68A9" w:rsidRDefault="00FD68A9" w:rsidP="00FD68A9">
      <w:pPr>
        <w:numPr>
          <w:ilvl w:val="0"/>
          <w:numId w:val="4"/>
        </w:numPr>
      </w:pPr>
      <w:r w:rsidRPr="00FD68A9">
        <w:rPr>
          <w:b/>
          <w:bCs/>
        </w:rPr>
        <w:t>Postbiotic beverages</w:t>
      </w:r>
      <w:r w:rsidRPr="00FD68A9">
        <w:t>, offering health benefits from the metabolic by-products of probiotics</w:t>
      </w:r>
    </w:p>
    <w:p w14:paraId="32240E26" w14:textId="77777777" w:rsidR="00FD68A9" w:rsidRPr="00FD68A9" w:rsidRDefault="00FD68A9" w:rsidP="00FD68A9">
      <w:pPr>
        <w:numPr>
          <w:ilvl w:val="0"/>
          <w:numId w:val="4"/>
        </w:numPr>
      </w:pPr>
      <w:r w:rsidRPr="00FD68A9">
        <w:rPr>
          <w:b/>
          <w:bCs/>
        </w:rPr>
        <w:t>Personalized nutrition</w:t>
      </w:r>
      <w:r w:rsidRPr="00FD68A9">
        <w:t>, using microbiome testing to recommend specific strains and drink types</w:t>
      </w:r>
    </w:p>
    <w:p w14:paraId="2C3F87A5" w14:textId="77777777" w:rsidR="00FD68A9" w:rsidRPr="00FD68A9" w:rsidRDefault="00FD68A9" w:rsidP="00FD68A9">
      <w:pPr>
        <w:numPr>
          <w:ilvl w:val="0"/>
          <w:numId w:val="4"/>
        </w:numPr>
      </w:pPr>
      <w:r w:rsidRPr="00FD68A9">
        <w:rPr>
          <w:b/>
          <w:bCs/>
        </w:rPr>
        <w:t>Probiotic energy drinks</w:t>
      </w:r>
      <w:r w:rsidRPr="00FD68A9">
        <w:t>, blending cognitive and digestive benefits into one offering</w:t>
      </w:r>
    </w:p>
    <w:p w14:paraId="1C43957E" w14:textId="77777777" w:rsidR="00FD68A9" w:rsidRPr="00FD68A9" w:rsidRDefault="00FD68A9" w:rsidP="00FD68A9">
      <w:r w:rsidRPr="00FD68A9">
        <w:t>As product development becomes more data-driven and consumer-centric, the boundaries of what a probiotic beverage can offer will continue to expand.</w:t>
      </w:r>
    </w:p>
    <w:p w14:paraId="67CAC05D" w14:textId="77777777" w:rsidR="00FD68A9" w:rsidRPr="00FD68A9" w:rsidRDefault="00FD68A9" w:rsidP="00FD68A9">
      <w:r w:rsidRPr="00FD68A9">
        <w:pict w14:anchorId="3F4E8E36">
          <v:rect id="_x0000_i1100" style="width:0;height:1.5pt" o:hralign="center" o:hrstd="t" o:hr="t" fillcolor="#a0a0a0" stroked="f"/>
        </w:pict>
      </w:r>
    </w:p>
    <w:p w14:paraId="68429576" w14:textId="77777777" w:rsidR="00FD68A9" w:rsidRPr="00FD68A9" w:rsidRDefault="00FD68A9" w:rsidP="00FD68A9">
      <w:pPr>
        <w:rPr>
          <w:b/>
          <w:bCs/>
        </w:rPr>
      </w:pPr>
      <w:r w:rsidRPr="00FD68A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4045"/>
      </w:tblGrid>
      <w:tr w:rsidR="00FD68A9" w:rsidRPr="00FD68A9" w14:paraId="52F86BC3" w14:textId="77777777">
        <w:trPr>
          <w:tblHeader/>
          <w:tblCellSpacing w:w="15" w:type="dxa"/>
        </w:trPr>
        <w:tc>
          <w:tcPr>
            <w:tcW w:w="0" w:type="auto"/>
            <w:vAlign w:val="center"/>
            <w:hideMark/>
          </w:tcPr>
          <w:p w14:paraId="5D6CBC5D" w14:textId="77777777" w:rsidR="00FD68A9" w:rsidRPr="00FD68A9" w:rsidRDefault="00FD68A9" w:rsidP="00FD68A9">
            <w:pPr>
              <w:rPr>
                <w:b/>
                <w:bCs/>
              </w:rPr>
            </w:pPr>
            <w:r w:rsidRPr="00FD68A9">
              <w:rPr>
                <w:b/>
                <w:bCs/>
              </w:rPr>
              <w:t>Metric</w:t>
            </w:r>
          </w:p>
        </w:tc>
        <w:tc>
          <w:tcPr>
            <w:tcW w:w="0" w:type="auto"/>
            <w:vAlign w:val="center"/>
            <w:hideMark/>
          </w:tcPr>
          <w:p w14:paraId="2F83163A" w14:textId="77777777" w:rsidR="00FD68A9" w:rsidRPr="00FD68A9" w:rsidRDefault="00FD68A9" w:rsidP="00FD68A9">
            <w:pPr>
              <w:rPr>
                <w:b/>
                <w:bCs/>
              </w:rPr>
            </w:pPr>
            <w:r w:rsidRPr="00FD68A9">
              <w:rPr>
                <w:b/>
                <w:bCs/>
              </w:rPr>
              <w:t>Value</w:t>
            </w:r>
          </w:p>
        </w:tc>
      </w:tr>
      <w:tr w:rsidR="00FD68A9" w:rsidRPr="00FD68A9" w14:paraId="61131146" w14:textId="77777777">
        <w:trPr>
          <w:tblCellSpacing w:w="15" w:type="dxa"/>
        </w:trPr>
        <w:tc>
          <w:tcPr>
            <w:tcW w:w="0" w:type="auto"/>
            <w:vAlign w:val="center"/>
            <w:hideMark/>
          </w:tcPr>
          <w:p w14:paraId="1F4AF6A0" w14:textId="77777777" w:rsidR="00FD68A9" w:rsidRPr="00FD68A9" w:rsidRDefault="00FD68A9" w:rsidP="00FD68A9">
            <w:r w:rsidRPr="00FD68A9">
              <w:t>2024 Market Size</w:t>
            </w:r>
          </w:p>
        </w:tc>
        <w:tc>
          <w:tcPr>
            <w:tcW w:w="0" w:type="auto"/>
            <w:vAlign w:val="center"/>
            <w:hideMark/>
          </w:tcPr>
          <w:p w14:paraId="19E4295A" w14:textId="77777777" w:rsidR="00FD68A9" w:rsidRPr="00FD68A9" w:rsidRDefault="00FD68A9" w:rsidP="00FD68A9">
            <w:r w:rsidRPr="00FD68A9">
              <w:t>USD 23.4 billion</w:t>
            </w:r>
          </w:p>
        </w:tc>
      </w:tr>
      <w:tr w:rsidR="00FD68A9" w:rsidRPr="00FD68A9" w14:paraId="7BDABAEA" w14:textId="77777777">
        <w:trPr>
          <w:tblCellSpacing w:w="15" w:type="dxa"/>
        </w:trPr>
        <w:tc>
          <w:tcPr>
            <w:tcW w:w="0" w:type="auto"/>
            <w:vAlign w:val="center"/>
            <w:hideMark/>
          </w:tcPr>
          <w:p w14:paraId="338A9162" w14:textId="77777777" w:rsidR="00FD68A9" w:rsidRPr="00FD68A9" w:rsidRDefault="00FD68A9" w:rsidP="00FD68A9">
            <w:r w:rsidRPr="00FD68A9">
              <w:t>2032 Forecast</w:t>
            </w:r>
          </w:p>
        </w:tc>
        <w:tc>
          <w:tcPr>
            <w:tcW w:w="0" w:type="auto"/>
            <w:vAlign w:val="center"/>
            <w:hideMark/>
          </w:tcPr>
          <w:p w14:paraId="65F8261B" w14:textId="77777777" w:rsidR="00FD68A9" w:rsidRPr="00FD68A9" w:rsidRDefault="00FD68A9" w:rsidP="00FD68A9">
            <w:r w:rsidRPr="00FD68A9">
              <w:t>USD 49.1 billion</w:t>
            </w:r>
          </w:p>
        </w:tc>
      </w:tr>
      <w:tr w:rsidR="00FD68A9" w:rsidRPr="00FD68A9" w14:paraId="378BB162" w14:textId="77777777">
        <w:trPr>
          <w:tblCellSpacing w:w="15" w:type="dxa"/>
        </w:trPr>
        <w:tc>
          <w:tcPr>
            <w:tcW w:w="0" w:type="auto"/>
            <w:vAlign w:val="center"/>
            <w:hideMark/>
          </w:tcPr>
          <w:p w14:paraId="11418C6F" w14:textId="77777777" w:rsidR="00FD68A9" w:rsidRPr="00FD68A9" w:rsidRDefault="00FD68A9" w:rsidP="00FD68A9">
            <w:r w:rsidRPr="00FD68A9">
              <w:t>CAGR (2024–2032)</w:t>
            </w:r>
          </w:p>
        </w:tc>
        <w:tc>
          <w:tcPr>
            <w:tcW w:w="0" w:type="auto"/>
            <w:vAlign w:val="center"/>
            <w:hideMark/>
          </w:tcPr>
          <w:p w14:paraId="1AB547AE" w14:textId="77777777" w:rsidR="00FD68A9" w:rsidRPr="00FD68A9" w:rsidRDefault="00FD68A9" w:rsidP="00FD68A9">
            <w:r w:rsidRPr="00FD68A9">
              <w:t>9.6%</w:t>
            </w:r>
          </w:p>
        </w:tc>
      </w:tr>
      <w:tr w:rsidR="00FD68A9" w:rsidRPr="00FD68A9" w14:paraId="3CE119CF" w14:textId="77777777">
        <w:trPr>
          <w:tblCellSpacing w:w="15" w:type="dxa"/>
        </w:trPr>
        <w:tc>
          <w:tcPr>
            <w:tcW w:w="0" w:type="auto"/>
            <w:vAlign w:val="center"/>
            <w:hideMark/>
          </w:tcPr>
          <w:p w14:paraId="0520C7E9" w14:textId="77777777" w:rsidR="00FD68A9" w:rsidRPr="00FD68A9" w:rsidRDefault="00FD68A9" w:rsidP="00FD68A9">
            <w:r w:rsidRPr="00FD68A9">
              <w:t>Europe’s Market Share (2024)</w:t>
            </w:r>
          </w:p>
        </w:tc>
        <w:tc>
          <w:tcPr>
            <w:tcW w:w="0" w:type="auto"/>
            <w:vAlign w:val="center"/>
            <w:hideMark/>
          </w:tcPr>
          <w:p w14:paraId="55A1D7D0" w14:textId="77777777" w:rsidR="00FD68A9" w:rsidRPr="00FD68A9" w:rsidRDefault="00FD68A9" w:rsidP="00FD68A9">
            <w:r w:rsidRPr="00FD68A9">
              <w:t>27% (USD 6.3 billion)</w:t>
            </w:r>
          </w:p>
        </w:tc>
      </w:tr>
      <w:tr w:rsidR="00FD68A9" w:rsidRPr="00FD68A9" w14:paraId="4E8CC3C5" w14:textId="77777777">
        <w:trPr>
          <w:tblCellSpacing w:w="15" w:type="dxa"/>
        </w:trPr>
        <w:tc>
          <w:tcPr>
            <w:tcW w:w="0" w:type="auto"/>
            <w:vAlign w:val="center"/>
            <w:hideMark/>
          </w:tcPr>
          <w:p w14:paraId="22A7EC79" w14:textId="77777777" w:rsidR="00FD68A9" w:rsidRPr="00FD68A9" w:rsidRDefault="00FD68A9" w:rsidP="00FD68A9">
            <w:r w:rsidRPr="00FD68A9">
              <w:t>Key Product Types</w:t>
            </w:r>
          </w:p>
        </w:tc>
        <w:tc>
          <w:tcPr>
            <w:tcW w:w="0" w:type="auto"/>
            <w:vAlign w:val="center"/>
            <w:hideMark/>
          </w:tcPr>
          <w:p w14:paraId="1F27A25E" w14:textId="77777777" w:rsidR="00FD68A9" w:rsidRPr="00FD68A9" w:rsidRDefault="00FD68A9" w:rsidP="00FD68A9">
            <w:r w:rsidRPr="00FD68A9">
              <w:t>Kombucha, Yogurt Drinks, Kefir</w:t>
            </w:r>
          </w:p>
        </w:tc>
      </w:tr>
      <w:tr w:rsidR="00FD68A9" w:rsidRPr="00FD68A9" w14:paraId="2283D4B7" w14:textId="77777777">
        <w:trPr>
          <w:tblCellSpacing w:w="15" w:type="dxa"/>
        </w:trPr>
        <w:tc>
          <w:tcPr>
            <w:tcW w:w="0" w:type="auto"/>
            <w:vAlign w:val="center"/>
            <w:hideMark/>
          </w:tcPr>
          <w:p w14:paraId="093F2B52" w14:textId="77777777" w:rsidR="00FD68A9" w:rsidRPr="00FD68A9" w:rsidRDefault="00FD68A9" w:rsidP="00FD68A9">
            <w:r w:rsidRPr="00FD68A9">
              <w:t>Main Benefits</w:t>
            </w:r>
          </w:p>
        </w:tc>
        <w:tc>
          <w:tcPr>
            <w:tcW w:w="0" w:type="auto"/>
            <w:vAlign w:val="center"/>
            <w:hideMark/>
          </w:tcPr>
          <w:p w14:paraId="576D9898" w14:textId="77777777" w:rsidR="00FD68A9" w:rsidRPr="00FD68A9" w:rsidRDefault="00FD68A9" w:rsidP="00FD68A9">
            <w:r w:rsidRPr="00FD68A9">
              <w:t xml:space="preserve">Digestive health, immunity, </w:t>
            </w:r>
            <w:proofErr w:type="spellStart"/>
            <w:r w:rsidRPr="00FD68A9">
              <w:t>flavor</w:t>
            </w:r>
            <w:proofErr w:type="spellEnd"/>
            <w:r w:rsidRPr="00FD68A9">
              <w:t xml:space="preserve"> variety</w:t>
            </w:r>
          </w:p>
        </w:tc>
      </w:tr>
      <w:tr w:rsidR="00FD68A9" w:rsidRPr="00FD68A9" w14:paraId="60670522" w14:textId="77777777">
        <w:trPr>
          <w:tblCellSpacing w:w="15" w:type="dxa"/>
        </w:trPr>
        <w:tc>
          <w:tcPr>
            <w:tcW w:w="0" w:type="auto"/>
            <w:vAlign w:val="center"/>
            <w:hideMark/>
          </w:tcPr>
          <w:p w14:paraId="36842D9F" w14:textId="77777777" w:rsidR="00FD68A9" w:rsidRPr="00FD68A9" w:rsidRDefault="00FD68A9" w:rsidP="00FD68A9">
            <w:r w:rsidRPr="00FD68A9">
              <w:t>Leading Innovation Areas</w:t>
            </w:r>
          </w:p>
        </w:tc>
        <w:tc>
          <w:tcPr>
            <w:tcW w:w="0" w:type="auto"/>
            <w:vAlign w:val="center"/>
            <w:hideMark/>
          </w:tcPr>
          <w:p w14:paraId="07D70EFF" w14:textId="77777777" w:rsidR="00FD68A9" w:rsidRPr="00FD68A9" w:rsidRDefault="00FD68A9" w:rsidP="00FD68A9">
            <w:r w:rsidRPr="00FD68A9">
              <w:t xml:space="preserve">Non-dairy formats, </w:t>
            </w:r>
            <w:proofErr w:type="spellStart"/>
            <w:r w:rsidRPr="00FD68A9">
              <w:t>synbiotics</w:t>
            </w:r>
            <w:proofErr w:type="spellEnd"/>
            <w:r w:rsidRPr="00FD68A9">
              <w:t>, encapsulation</w:t>
            </w:r>
          </w:p>
        </w:tc>
      </w:tr>
    </w:tbl>
    <w:p w14:paraId="6B3CC18A" w14:textId="77777777" w:rsidR="00FD68A9" w:rsidRPr="00FD68A9" w:rsidRDefault="00FD68A9" w:rsidP="00FD68A9">
      <w:r w:rsidRPr="00FD68A9">
        <w:pict w14:anchorId="43B270E7">
          <v:rect id="_x0000_i1101" style="width:0;height:1.5pt" o:hralign="center" o:hrstd="t" o:hr="t" fillcolor="#a0a0a0" stroked="f"/>
        </w:pict>
      </w:r>
    </w:p>
    <w:p w14:paraId="14D9C352" w14:textId="77777777" w:rsidR="00FD68A9" w:rsidRPr="00FD68A9" w:rsidRDefault="00FD68A9" w:rsidP="00FD68A9">
      <w:pPr>
        <w:rPr>
          <w:b/>
          <w:bCs/>
        </w:rPr>
      </w:pPr>
      <w:r w:rsidRPr="00FD68A9">
        <w:rPr>
          <w:b/>
          <w:bCs/>
        </w:rPr>
        <w:t>Final Thoughts</w:t>
      </w:r>
    </w:p>
    <w:p w14:paraId="0126E1C2" w14:textId="77777777" w:rsidR="00FD68A9" w:rsidRPr="00FD68A9" w:rsidRDefault="00FD68A9" w:rsidP="00FD68A9">
      <w:r w:rsidRPr="00FD68A9">
        <w:t xml:space="preserve">Probiotic beverages are no longer confined to the health food aisle. Their expansion into mainstream retail and global markets underscores a broader shift toward proactive wellness and dietary </w:t>
      </w:r>
      <w:r w:rsidRPr="00FD68A9">
        <w:lastRenderedPageBreak/>
        <w:t>functionality. With rising awareness, advancing formulation techniques, and increasing global demand, probiotic drinks are set to become a staple in health-focused routines worldwide.</w:t>
      </w:r>
    </w:p>
    <w:p w14:paraId="6250F0CB" w14:textId="77777777" w:rsidR="00E068C5" w:rsidRDefault="00E068C5"/>
    <w:sectPr w:rsidR="00E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5CA5"/>
    <w:multiLevelType w:val="multilevel"/>
    <w:tmpl w:val="F6B0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962E0"/>
    <w:multiLevelType w:val="multilevel"/>
    <w:tmpl w:val="F2E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82BFA"/>
    <w:multiLevelType w:val="multilevel"/>
    <w:tmpl w:val="BF5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1164F"/>
    <w:multiLevelType w:val="multilevel"/>
    <w:tmpl w:val="2D8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374094">
    <w:abstractNumId w:val="2"/>
  </w:num>
  <w:num w:numId="2" w16cid:durableId="2124223792">
    <w:abstractNumId w:val="1"/>
  </w:num>
  <w:num w:numId="3" w16cid:durableId="2064477584">
    <w:abstractNumId w:val="0"/>
  </w:num>
  <w:num w:numId="4" w16cid:durableId="1615792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55"/>
    <w:rsid w:val="00316C55"/>
    <w:rsid w:val="00673C27"/>
    <w:rsid w:val="00E068C5"/>
    <w:rsid w:val="00E93A89"/>
    <w:rsid w:val="00FD6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064D7-5291-49F6-96AB-9688456F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C55"/>
    <w:rPr>
      <w:rFonts w:eastAsiaTheme="majorEastAsia" w:cstheme="majorBidi"/>
      <w:color w:val="272727" w:themeColor="text1" w:themeTint="D8"/>
    </w:rPr>
  </w:style>
  <w:style w:type="paragraph" w:styleId="Title">
    <w:name w:val="Title"/>
    <w:basedOn w:val="Normal"/>
    <w:next w:val="Normal"/>
    <w:link w:val="TitleChar"/>
    <w:uiPriority w:val="10"/>
    <w:qFormat/>
    <w:rsid w:val="00316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C55"/>
    <w:pPr>
      <w:spacing w:before="160"/>
      <w:jc w:val="center"/>
    </w:pPr>
    <w:rPr>
      <w:i/>
      <w:iCs/>
      <w:color w:val="404040" w:themeColor="text1" w:themeTint="BF"/>
    </w:rPr>
  </w:style>
  <w:style w:type="character" w:customStyle="1" w:styleId="QuoteChar">
    <w:name w:val="Quote Char"/>
    <w:basedOn w:val="DefaultParagraphFont"/>
    <w:link w:val="Quote"/>
    <w:uiPriority w:val="29"/>
    <w:rsid w:val="00316C55"/>
    <w:rPr>
      <w:i/>
      <w:iCs/>
      <w:color w:val="404040" w:themeColor="text1" w:themeTint="BF"/>
    </w:rPr>
  </w:style>
  <w:style w:type="paragraph" w:styleId="ListParagraph">
    <w:name w:val="List Paragraph"/>
    <w:basedOn w:val="Normal"/>
    <w:uiPriority w:val="34"/>
    <w:qFormat/>
    <w:rsid w:val="00316C55"/>
    <w:pPr>
      <w:ind w:left="720"/>
      <w:contextualSpacing/>
    </w:pPr>
  </w:style>
  <w:style w:type="character" w:styleId="IntenseEmphasis">
    <w:name w:val="Intense Emphasis"/>
    <w:basedOn w:val="DefaultParagraphFont"/>
    <w:uiPriority w:val="21"/>
    <w:qFormat/>
    <w:rsid w:val="00316C55"/>
    <w:rPr>
      <w:i/>
      <w:iCs/>
      <w:color w:val="2F5496" w:themeColor="accent1" w:themeShade="BF"/>
    </w:rPr>
  </w:style>
  <w:style w:type="paragraph" w:styleId="IntenseQuote">
    <w:name w:val="Intense Quote"/>
    <w:basedOn w:val="Normal"/>
    <w:next w:val="Normal"/>
    <w:link w:val="IntenseQuoteChar"/>
    <w:uiPriority w:val="30"/>
    <w:qFormat/>
    <w:rsid w:val="00316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C55"/>
    <w:rPr>
      <w:i/>
      <w:iCs/>
      <w:color w:val="2F5496" w:themeColor="accent1" w:themeShade="BF"/>
    </w:rPr>
  </w:style>
  <w:style w:type="character" w:styleId="IntenseReference">
    <w:name w:val="Intense Reference"/>
    <w:basedOn w:val="DefaultParagraphFont"/>
    <w:uiPriority w:val="32"/>
    <w:qFormat/>
    <w:rsid w:val="00316C55"/>
    <w:rPr>
      <w:b/>
      <w:bCs/>
      <w:smallCaps/>
      <w:color w:val="2F5496" w:themeColor="accent1" w:themeShade="BF"/>
      <w:spacing w:val="5"/>
    </w:rPr>
  </w:style>
  <w:style w:type="character" w:styleId="Hyperlink">
    <w:name w:val="Hyperlink"/>
    <w:basedOn w:val="DefaultParagraphFont"/>
    <w:uiPriority w:val="99"/>
    <w:unhideWhenUsed/>
    <w:rsid w:val="00FD68A9"/>
    <w:rPr>
      <w:color w:val="0563C1" w:themeColor="hyperlink"/>
      <w:u w:val="single"/>
    </w:rPr>
  </w:style>
  <w:style w:type="character" w:styleId="UnresolvedMention">
    <w:name w:val="Unresolved Mention"/>
    <w:basedOn w:val="DefaultParagraphFont"/>
    <w:uiPriority w:val="99"/>
    <w:semiHidden/>
    <w:unhideWhenUsed/>
    <w:rsid w:val="00FD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ntelo.com/report/global-probiotic-beverage-market" TargetMode="External"/><Relationship Id="rId3" Type="http://schemas.openxmlformats.org/officeDocument/2006/relationships/settings" Target="settings.xml"/><Relationship Id="rId7" Type="http://schemas.openxmlformats.org/officeDocument/2006/relationships/hyperlink" Target="https://dataintelo.com/report/global-probiotic-beverage-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telo.com/report/probiotic-beverage-market" TargetMode="External"/><Relationship Id="rId5" Type="http://schemas.openxmlformats.org/officeDocument/2006/relationships/hyperlink" Target="https://marketintelo.com/report/probiotic-beverage-m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2025-08-06T12:19:00Z</dcterms:created>
  <dcterms:modified xsi:type="dcterms:W3CDTF">2025-08-06T12:19:00Z</dcterms:modified>
</cp:coreProperties>
</file>