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25ACB" w14:textId="77777777" w:rsidR="00235E14" w:rsidRPr="00235E14" w:rsidRDefault="00235E14" w:rsidP="00235E14">
      <w:r w:rsidRPr="00235E14">
        <w:rPr>
          <w:b/>
          <w:bCs/>
        </w:rPr>
        <w:t>Are Solid Oxide Fuel Cells the Future of Clean Energy?</w:t>
      </w:r>
    </w:p>
    <w:p w14:paraId="3731DD70" w14:textId="77777777" w:rsidR="00235E14" w:rsidRPr="00235E14" w:rsidRDefault="00235E14" w:rsidP="00235E14">
      <w:r w:rsidRPr="00235E14">
        <w:pict w14:anchorId="08EAB71C">
          <v:rect id="_x0000_i1085" style="width:0;height:1.5pt" o:hralign="center" o:hrstd="t" o:hr="t" fillcolor="#a0a0a0" stroked="f"/>
        </w:pict>
      </w:r>
    </w:p>
    <w:p w14:paraId="0F08D44D" w14:textId="77777777" w:rsidR="00235E14" w:rsidRPr="00235E14" w:rsidRDefault="00235E14" w:rsidP="00235E14">
      <w:pPr>
        <w:rPr>
          <w:b/>
          <w:bCs/>
        </w:rPr>
      </w:pPr>
      <w:r w:rsidRPr="00235E14">
        <w:rPr>
          <w:b/>
          <w:bCs/>
        </w:rPr>
        <w:t>Introduction</w:t>
      </w:r>
    </w:p>
    <w:p w14:paraId="60C553CE" w14:textId="77777777" w:rsidR="00235E14" w:rsidRPr="00235E14" w:rsidRDefault="00235E14" w:rsidP="00235E14">
      <w:r w:rsidRPr="00235E14">
        <w:t>Solid oxide fuel cells (SOFCs) are emerging as a pillar of clean energy innovation. These high-temperature electrochemical systems generate electricity by oxidizing fuels like hydrogen, natural gas, or biogas without combustion. Known for their impressive efficiency—often exceeding 60%—SOFCs are reshaping power generation and sustainability discussions.</w:t>
      </w:r>
    </w:p>
    <w:p w14:paraId="0D2CEAC5" w14:textId="77777777" w:rsidR="00235E14" w:rsidRPr="00235E14" w:rsidRDefault="00235E14" w:rsidP="00235E14">
      <w:r w:rsidRPr="00235E14">
        <w:t>Their fuel flexibility and ability to recover waste heat via combined heat and power (CHP) applications make them attractive across industries seeking energy autonomy and reduced emissions.</w:t>
      </w:r>
    </w:p>
    <w:p w14:paraId="0F372E62" w14:textId="77777777" w:rsidR="00235E14" w:rsidRPr="00235E14" w:rsidRDefault="00235E14" w:rsidP="00235E14">
      <w:r w:rsidRPr="00235E14">
        <w:t xml:space="preserve">According to </w:t>
      </w:r>
      <w:proofErr w:type="spellStart"/>
      <w:r w:rsidRPr="00235E14">
        <w:t>Marketintelo</w:t>
      </w:r>
      <w:proofErr w:type="spellEnd"/>
      <w:r w:rsidRPr="00235E14">
        <w:t xml:space="preserve">, “The global </w:t>
      </w:r>
      <w:hyperlink r:id="rId5" w:tgtFrame="_new" w:history="1">
        <w:r w:rsidRPr="00235E14">
          <w:rPr>
            <w:rStyle w:val="Hyperlink"/>
            <w:b/>
            <w:bCs/>
          </w:rPr>
          <w:t>Solid Oxide Fuel Cell Market</w:t>
        </w:r>
      </w:hyperlink>
      <w:r w:rsidRPr="00235E14">
        <w:t xml:space="preserve"> size was valued at approximately USD 2.04 billion in 2024 and is projected to reach USD 12.55 billion by 2032, growing at a compound annual growth rate (CAGR) of 25.72% during the forecast period 2025–2032.”</w:t>
      </w:r>
      <w:r w:rsidRPr="00235E14">
        <w:br/>
        <w:t xml:space="preserve">Read Full Research Study – </w:t>
      </w:r>
      <w:hyperlink r:id="rId6" w:tgtFrame="_new" w:history="1">
        <w:r w:rsidRPr="00235E14">
          <w:rPr>
            <w:rStyle w:val="Hyperlink"/>
          </w:rPr>
          <w:t>https://marketintelo.com/report/solid-oxide-fuel-cell-market</w:t>
        </w:r>
      </w:hyperlink>
    </w:p>
    <w:p w14:paraId="52FB1C86" w14:textId="77777777" w:rsidR="00235E14" w:rsidRPr="00235E14" w:rsidRDefault="00235E14" w:rsidP="00235E14">
      <w:r w:rsidRPr="00235E14">
        <w:pict w14:anchorId="2F7F5F00">
          <v:rect id="_x0000_i1086" style="width:0;height:1.5pt" o:hralign="center" o:hrstd="t" o:hr="t" fillcolor="#a0a0a0" stroked="f"/>
        </w:pict>
      </w:r>
    </w:p>
    <w:p w14:paraId="06821FFE" w14:textId="77777777" w:rsidR="00235E14" w:rsidRPr="00235E14" w:rsidRDefault="00235E14" w:rsidP="00235E14">
      <w:pPr>
        <w:rPr>
          <w:b/>
          <w:bCs/>
        </w:rPr>
      </w:pPr>
      <w:r w:rsidRPr="00235E14">
        <w:rPr>
          <w:b/>
          <w:bCs/>
        </w:rPr>
        <w:t>What Sets SOFCs Apart?</w:t>
      </w:r>
    </w:p>
    <w:p w14:paraId="4912088C" w14:textId="77777777" w:rsidR="00235E14" w:rsidRPr="00235E14" w:rsidRDefault="00235E14" w:rsidP="00235E14">
      <w:r w:rsidRPr="00235E14">
        <w:t>SOFCs stand out for:</w:t>
      </w:r>
    </w:p>
    <w:p w14:paraId="53DEC251" w14:textId="77777777" w:rsidR="00235E14" w:rsidRPr="00235E14" w:rsidRDefault="00235E14" w:rsidP="00235E14">
      <w:pPr>
        <w:numPr>
          <w:ilvl w:val="0"/>
          <w:numId w:val="1"/>
        </w:numPr>
      </w:pPr>
      <w:r w:rsidRPr="00235E14">
        <w:rPr>
          <w:b/>
          <w:bCs/>
        </w:rPr>
        <w:t>High electrical and thermal efficiency</w:t>
      </w:r>
      <w:r w:rsidRPr="00235E14">
        <w:t>—especially when integrated in CHP setups.</w:t>
      </w:r>
    </w:p>
    <w:p w14:paraId="23D18700" w14:textId="77777777" w:rsidR="00235E14" w:rsidRPr="00235E14" w:rsidRDefault="00235E14" w:rsidP="00235E14">
      <w:pPr>
        <w:numPr>
          <w:ilvl w:val="0"/>
          <w:numId w:val="1"/>
        </w:numPr>
      </w:pPr>
      <w:r w:rsidRPr="00235E14">
        <w:rPr>
          <w:b/>
          <w:bCs/>
        </w:rPr>
        <w:t>Fuel adaptability</w:t>
      </w:r>
      <w:r w:rsidRPr="00235E14">
        <w:t>, including hydrogen, biomethane, and fossil gas.</w:t>
      </w:r>
    </w:p>
    <w:p w14:paraId="3834E238" w14:textId="77777777" w:rsidR="00235E14" w:rsidRPr="00235E14" w:rsidRDefault="00235E14" w:rsidP="00235E14">
      <w:pPr>
        <w:numPr>
          <w:ilvl w:val="0"/>
          <w:numId w:val="1"/>
        </w:numPr>
      </w:pPr>
      <w:r w:rsidRPr="00235E14">
        <w:rPr>
          <w:b/>
          <w:bCs/>
        </w:rPr>
        <w:t>Quiet operation</w:t>
      </w:r>
      <w:r w:rsidRPr="00235E14">
        <w:t xml:space="preserve"> and modular scalability, fitting both distributed energy systems and industrial power units.</w:t>
      </w:r>
    </w:p>
    <w:p w14:paraId="5FD7424D" w14:textId="77777777" w:rsidR="00235E14" w:rsidRPr="00235E14" w:rsidRDefault="00235E14" w:rsidP="00235E14">
      <w:r w:rsidRPr="00235E14">
        <w:t xml:space="preserve">These characteristics are redefining decentralized power generation, especially in remote installations, data </w:t>
      </w:r>
      <w:proofErr w:type="spellStart"/>
      <w:r w:rsidRPr="00235E14">
        <w:t>centers</w:t>
      </w:r>
      <w:proofErr w:type="spellEnd"/>
      <w:r w:rsidRPr="00235E14">
        <w:t>, and heavy industry.</w:t>
      </w:r>
    </w:p>
    <w:p w14:paraId="60177A82" w14:textId="77777777" w:rsidR="00235E14" w:rsidRPr="00235E14" w:rsidRDefault="00235E14" w:rsidP="00235E14">
      <w:r w:rsidRPr="00235E14">
        <w:pict w14:anchorId="446C54D2">
          <v:rect id="_x0000_i1087" style="width:0;height:1.5pt" o:hralign="center" o:hrstd="t" o:hr="t" fillcolor="#a0a0a0" stroked="f"/>
        </w:pict>
      </w:r>
    </w:p>
    <w:p w14:paraId="7FC3B4B3" w14:textId="77777777" w:rsidR="00235E14" w:rsidRPr="00235E14" w:rsidRDefault="00235E14" w:rsidP="00235E14">
      <w:pPr>
        <w:rPr>
          <w:b/>
          <w:bCs/>
        </w:rPr>
      </w:pPr>
      <w:r w:rsidRPr="00235E14">
        <w:rPr>
          <w:b/>
          <w:bCs/>
        </w:rPr>
        <w:t>Type and Application Breakdown</w:t>
      </w:r>
    </w:p>
    <w:p w14:paraId="11F83150" w14:textId="77777777" w:rsidR="00235E14" w:rsidRPr="00235E14" w:rsidRDefault="00235E14" w:rsidP="00235E14">
      <w:r w:rsidRPr="00235E14">
        <w:t>SOFCs come in two main designs:</w:t>
      </w:r>
    </w:p>
    <w:p w14:paraId="79888E52" w14:textId="77777777" w:rsidR="00235E14" w:rsidRPr="00235E14" w:rsidRDefault="00235E14" w:rsidP="00235E14">
      <w:pPr>
        <w:numPr>
          <w:ilvl w:val="0"/>
          <w:numId w:val="2"/>
        </w:numPr>
      </w:pPr>
      <w:r w:rsidRPr="00235E14">
        <w:rPr>
          <w:b/>
          <w:bCs/>
        </w:rPr>
        <w:t>Planar</w:t>
      </w:r>
      <w:r w:rsidRPr="00235E14">
        <w:t xml:space="preserve"> cells, compact and efficient, were dominant in 2023 with over 60% global share. </w:t>
      </w:r>
      <w:hyperlink r:id="rId7" w:tgtFrame="_blank" w:history="1">
        <w:r w:rsidRPr="00235E14">
          <w:rPr>
            <w:rStyle w:val="Hyperlink"/>
          </w:rPr>
          <w:t>Market Research Future+3Fortune Business Insights+3Straits Research+3</w:t>
        </w:r>
      </w:hyperlink>
      <w:hyperlink r:id="rId8" w:tgtFrame="_blank" w:history="1">
        <w:r w:rsidRPr="00235E14">
          <w:rPr>
            <w:rStyle w:val="Hyperlink"/>
          </w:rPr>
          <w:t>Zion Market Research+3MAXIMIZE MARKET RESEARCH+3Stellar Market Research+3</w:t>
        </w:r>
      </w:hyperlink>
    </w:p>
    <w:p w14:paraId="06C8CBD7" w14:textId="77777777" w:rsidR="00235E14" w:rsidRPr="00235E14" w:rsidRDefault="00235E14" w:rsidP="00235E14">
      <w:pPr>
        <w:numPr>
          <w:ilvl w:val="0"/>
          <w:numId w:val="2"/>
        </w:numPr>
      </w:pPr>
      <w:r w:rsidRPr="00235E14">
        <w:rPr>
          <w:b/>
          <w:bCs/>
        </w:rPr>
        <w:t>Tubular</w:t>
      </w:r>
      <w:r w:rsidRPr="00235E14">
        <w:t xml:space="preserve"> configurations, known for durability at elevated temperatures, are </w:t>
      </w:r>
      <w:proofErr w:type="spellStart"/>
      <w:r w:rsidRPr="00235E14">
        <w:t>favored</w:t>
      </w:r>
      <w:proofErr w:type="spellEnd"/>
      <w:r w:rsidRPr="00235E14">
        <w:t xml:space="preserve"> for resilience. </w:t>
      </w:r>
      <w:hyperlink r:id="rId9" w:tgtFrame="_blank" w:history="1">
        <w:r w:rsidRPr="00235E14">
          <w:rPr>
            <w:rStyle w:val="Hyperlink"/>
          </w:rPr>
          <w:t>Zion Market Research+4Market Research Future+4MAXIMIZE MARKET RESEARCH+4</w:t>
        </w:r>
      </w:hyperlink>
    </w:p>
    <w:p w14:paraId="6040A7E2" w14:textId="77777777" w:rsidR="00235E14" w:rsidRPr="00235E14" w:rsidRDefault="00235E14" w:rsidP="00235E14">
      <w:r w:rsidRPr="00235E14">
        <w:t>In terms of application:</w:t>
      </w:r>
    </w:p>
    <w:p w14:paraId="2B756C75" w14:textId="77777777" w:rsidR="00235E14" w:rsidRPr="00235E14" w:rsidRDefault="00235E14" w:rsidP="00235E14">
      <w:pPr>
        <w:numPr>
          <w:ilvl w:val="0"/>
          <w:numId w:val="3"/>
        </w:numPr>
      </w:pPr>
      <w:r w:rsidRPr="00235E14">
        <w:rPr>
          <w:b/>
          <w:bCs/>
        </w:rPr>
        <w:t>Stationary systems</w:t>
      </w:r>
      <w:r w:rsidRPr="00235E14">
        <w:t xml:space="preserve">, including power generation and CHP setups, collectively generated around 62% of revenue in 2023. </w:t>
      </w:r>
      <w:hyperlink r:id="rId10" w:tgtFrame="_blank" w:history="1">
        <w:r w:rsidRPr="00235E14">
          <w:rPr>
            <w:rStyle w:val="Hyperlink"/>
          </w:rPr>
          <w:t>H2 Tech+1</w:t>
        </w:r>
      </w:hyperlink>
    </w:p>
    <w:p w14:paraId="52CE98CC" w14:textId="77777777" w:rsidR="00235E14" w:rsidRPr="00235E14" w:rsidRDefault="00235E14" w:rsidP="00235E14">
      <w:pPr>
        <w:numPr>
          <w:ilvl w:val="0"/>
          <w:numId w:val="3"/>
        </w:numPr>
      </w:pPr>
      <w:r w:rsidRPr="00235E14">
        <w:rPr>
          <w:b/>
          <w:bCs/>
        </w:rPr>
        <w:t>Portable and transport segments</w:t>
      </w:r>
      <w:r w:rsidRPr="00235E14">
        <w:t xml:space="preserve"> remain niche but are gaining traction through emerging innovation.</w:t>
      </w:r>
    </w:p>
    <w:p w14:paraId="5AC8B136" w14:textId="77777777" w:rsidR="00235E14" w:rsidRPr="00235E14" w:rsidRDefault="00235E14" w:rsidP="00235E14">
      <w:r w:rsidRPr="00235E14">
        <w:lastRenderedPageBreak/>
        <w:pict w14:anchorId="0AFEE39E">
          <v:rect id="_x0000_i1088" style="width:0;height:1.5pt" o:hralign="center" o:hrstd="t" o:hr="t" fillcolor="#a0a0a0" stroked="f"/>
        </w:pict>
      </w:r>
    </w:p>
    <w:p w14:paraId="60433C0F" w14:textId="77777777" w:rsidR="00235E14" w:rsidRPr="00235E14" w:rsidRDefault="00235E14" w:rsidP="00235E14">
      <w:pPr>
        <w:rPr>
          <w:b/>
          <w:bCs/>
        </w:rPr>
      </w:pPr>
      <w:r w:rsidRPr="00235E14">
        <w:rPr>
          <w:b/>
          <w:bCs/>
        </w:rPr>
        <w:t>Regional Dynamics</w:t>
      </w:r>
    </w:p>
    <w:p w14:paraId="0E63E451" w14:textId="77777777" w:rsidR="00235E14" w:rsidRPr="00235E14" w:rsidRDefault="00235E14" w:rsidP="00235E14">
      <w:r w:rsidRPr="00235E14">
        <w:t>SOFC adoption shows regional variation:</w:t>
      </w:r>
    </w:p>
    <w:p w14:paraId="293ABB3D" w14:textId="77777777" w:rsidR="00235E14" w:rsidRPr="00235E14" w:rsidRDefault="00235E14" w:rsidP="00235E14">
      <w:r w:rsidRPr="00235E14">
        <w:t xml:space="preserve">As per </w:t>
      </w:r>
      <w:proofErr w:type="spellStart"/>
      <w:r w:rsidRPr="00235E14">
        <w:t>Dataintelo’s</w:t>
      </w:r>
      <w:proofErr w:type="spellEnd"/>
      <w:r w:rsidRPr="00235E14">
        <w:t xml:space="preserve"> analysis, “The regional distribution of the </w:t>
      </w:r>
      <w:hyperlink r:id="rId11" w:tgtFrame="_new" w:history="1">
        <w:r w:rsidRPr="00235E14">
          <w:rPr>
            <w:rStyle w:val="Hyperlink"/>
            <w:b/>
            <w:bCs/>
          </w:rPr>
          <w:t>Solid Oxide Fuel Cell Market</w:t>
        </w:r>
      </w:hyperlink>
      <w:r w:rsidRPr="00235E14">
        <w:t xml:space="preserve"> reflects varying consumer preferences, market shares, and growth rates. For instance, Europe accounted for approximately 38% of the market share in 2024, generating close to USD 800 million.”</w:t>
      </w:r>
    </w:p>
    <w:p w14:paraId="4D2DD565" w14:textId="77777777" w:rsidR="00235E14" w:rsidRPr="00235E14" w:rsidRDefault="00235E14" w:rsidP="00235E14">
      <w:r w:rsidRPr="00235E14">
        <w:t xml:space="preserve">Read Full Research Study – </w:t>
      </w:r>
      <w:hyperlink r:id="rId12" w:tgtFrame="_new" w:history="1">
        <w:r w:rsidRPr="00235E14">
          <w:rPr>
            <w:rStyle w:val="Hyperlink"/>
          </w:rPr>
          <w:t>https://dataintelo.com/report/solid-oxide-fuel-cell-market</w:t>
        </w:r>
      </w:hyperlink>
    </w:p>
    <w:p w14:paraId="72607368" w14:textId="77777777" w:rsidR="00235E14" w:rsidRPr="00235E14" w:rsidRDefault="00235E14" w:rsidP="00235E14">
      <w:r w:rsidRPr="00235E14">
        <w:t>Globally:</w:t>
      </w:r>
    </w:p>
    <w:p w14:paraId="79385650" w14:textId="77777777" w:rsidR="00235E14" w:rsidRPr="00235E14" w:rsidRDefault="00235E14" w:rsidP="00235E14">
      <w:pPr>
        <w:numPr>
          <w:ilvl w:val="0"/>
          <w:numId w:val="4"/>
        </w:numPr>
      </w:pPr>
      <w:r w:rsidRPr="00235E14">
        <w:rPr>
          <w:b/>
          <w:bCs/>
        </w:rPr>
        <w:t>North America</w:t>
      </w:r>
      <w:r w:rsidRPr="00235E14">
        <w:t xml:space="preserve"> emerged as a leader in 2023, with early commercial deployments especially in the U.S. and mobile backup installations. </w:t>
      </w:r>
      <w:hyperlink r:id="rId13" w:tgtFrame="_blank" w:history="1">
        <w:r w:rsidRPr="00235E14">
          <w:rPr>
            <w:rStyle w:val="Hyperlink"/>
          </w:rPr>
          <w:t>grandviewresearch.com+7gminsights.com+7H2 Tech+7</w:t>
        </w:r>
      </w:hyperlink>
      <w:hyperlink r:id="rId14" w:tgtFrame="_blank" w:history="1">
        <w:r w:rsidRPr="00235E14">
          <w:rPr>
            <w:rStyle w:val="Hyperlink"/>
          </w:rPr>
          <w:t>Market Research Future</w:t>
        </w:r>
      </w:hyperlink>
    </w:p>
    <w:p w14:paraId="01542CE2" w14:textId="77777777" w:rsidR="00235E14" w:rsidRPr="00235E14" w:rsidRDefault="00235E14" w:rsidP="00235E14">
      <w:pPr>
        <w:numPr>
          <w:ilvl w:val="0"/>
          <w:numId w:val="4"/>
        </w:numPr>
      </w:pPr>
      <w:r w:rsidRPr="00235E14">
        <w:rPr>
          <w:b/>
          <w:bCs/>
        </w:rPr>
        <w:t>Asia-Pacific</w:t>
      </w:r>
      <w:r w:rsidRPr="00235E14">
        <w:t xml:space="preserve">, particularly China and Japan, dominated regional share in 2024 with nearly 45%. </w:t>
      </w:r>
      <w:hyperlink r:id="rId15" w:tgtFrame="_blank" w:history="1">
        <w:r w:rsidRPr="00235E14">
          <w:rPr>
            <w:rStyle w:val="Hyperlink"/>
          </w:rPr>
          <w:t xml:space="preserve">H2 </w:t>
        </w:r>
        <w:proofErr w:type="spellStart"/>
        <w:r w:rsidRPr="00235E14">
          <w:rPr>
            <w:rStyle w:val="Hyperlink"/>
          </w:rPr>
          <w:t>Tech</w:t>
        </w:r>
      </w:hyperlink>
      <w:hyperlink r:id="rId16" w:tgtFrame="_blank" w:history="1">
        <w:r w:rsidRPr="00235E14">
          <w:rPr>
            <w:rStyle w:val="Hyperlink"/>
          </w:rPr>
          <w:t>Zion</w:t>
        </w:r>
        <w:proofErr w:type="spellEnd"/>
        <w:r w:rsidRPr="00235E14">
          <w:rPr>
            <w:rStyle w:val="Hyperlink"/>
          </w:rPr>
          <w:t xml:space="preserve"> Market Research</w:t>
        </w:r>
      </w:hyperlink>
    </w:p>
    <w:p w14:paraId="154A8A49" w14:textId="77777777" w:rsidR="00235E14" w:rsidRPr="00235E14" w:rsidRDefault="00235E14" w:rsidP="00235E14">
      <w:r w:rsidRPr="00235E14">
        <w:pict w14:anchorId="6F6EEA61">
          <v:rect id="_x0000_i1089" style="width:0;height:1.5pt" o:hralign="center" o:hrstd="t" o:hr="t" fillcolor="#a0a0a0" stroked="f"/>
        </w:pict>
      </w:r>
    </w:p>
    <w:p w14:paraId="67A7BE20" w14:textId="77777777" w:rsidR="00235E14" w:rsidRPr="00235E14" w:rsidRDefault="00235E14" w:rsidP="00235E14">
      <w:pPr>
        <w:rPr>
          <w:b/>
          <w:bCs/>
        </w:rPr>
      </w:pPr>
      <w:r w:rsidRPr="00235E14">
        <w:rPr>
          <w:b/>
          <w:bCs/>
        </w:rPr>
        <w:t xml:space="preserve">Key Drivers </w:t>
      </w:r>
      <w:proofErr w:type="spellStart"/>
      <w:r w:rsidRPr="00235E14">
        <w:rPr>
          <w:b/>
          <w:bCs/>
        </w:rPr>
        <w:t>Fueling</w:t>
      </w:r>
      <w:proofErr w:type="spellEnd"/>
      <w:r w:rsidRPr="00235E14">
        <w:rPr>
          <w:b/>
          <w:bCs/>
        </w:rPr>
        <w:t xml:space="preserve"> Adoption</w:t>
      </w:r>
    </w:p>
    <w:p w14:paraId="2935D264" w14:textId="77777777" w:rsidR="00235E14" w:rsidRPr="00235E14" w:rsidRDefault="00235E14" w:rsidP="00235E14">
      <w:pPr>
        <w:rPr>
          <w:b/>
          <w:bCs/>
        </w:rPr>
      </w:pPr>
      <w:r w:rsidRPr="00235E14">
        <w:rPr>
          <w:b/>
          <w:bCs/>
        </w:rPr>
        <w:t>Decentralized Energy Demand</w:t>
      </w:r>
    </w:p>
    <w:p w14:paraId="10D512C2" w14:textId="77777777" w:rsidR="00235E14" w:rsidRPr="00235E14" w:rsidRDefault="00235E14" w:rsidP="00235E14">
      <w:r w:rsidRPr="00235E14">
        <w:t xml:space="preserve">As communities demand more distributed power, SOFCs are ideal for microgrids and off-grid installations. </w:t>
      </w:r>
      <w:hyperlink r:id="rId17" w:tgtFrame="_blank" w:history="1">
        <w:r w:rsidRPr="00235E14">
          <w:rPr>
            <w:rStyle w:val="Hyperlink"/>
          </w:rPr>
          <w:t>Fortune Business Insights+2H2 Tech+2</w:t>
        </w:r>
      </w:hyperlink>
    </w:p>
    <w:p w14:paraId="593D5A71" w14:textId="77777777" w:rsidR="00235E14" w:rsidRPr="00235E14" w:rsidRDefault="00235E14" w:rsidP="00235E14">
      <w:pPr>
        <w:rPr>
          <w:b/>
          <w:bCs/>
        </w:rPr>
      </w:pPr>
      <w:r w:rsidRPr="00235E14">
        <w:rPr>
          <w:b/>
          <w:bCs/>
        </w:rPr>
        <w:t>Efficiency Needs in Industrial Use</w:t>
      </w:r>
    </w:p>
    <w:p w14:paraId="21C38336" w14:textId="77777777" w:rsidR="00235E14" w:rsidRPr="00235E14" w:rsidRDefault="00235E14" w:rsidP="00235E14">
      <w:r w:rsidRPr="00235E14">
        <w:t xml:space="preserve">Their ability to optimize heat and power makes them attractive for data </w:t>
      </w:r>
      <w:proofErr w:type="spellStart"/>
      <w:r w:rsidRPr="00235E14">
        <w:t>centers</w:t>
      </w:r>
      <w:proofErr w:type="spellEnd"/>
      <w:r w:rsidRPr="00235E14">
        <w:t>, hospitals, and manufacturing hubs.</w:t>
      </w:r>
    </w:p>
    <w:p w14:paraId="648D6025" w14:textId="77777777" w:rsidR="00235E14" w:rsidRPr="00235E14" w:rsidRDefault="00235E14" w:rsidP="00235E14">
      <w:pPr>
        <w:rPr>
          <w:b/>
          <w:bCs/>
        </w:rPr>
      </w:pPr>
      <w:r w:rsidRPr="00235E14">
        <w:rPr>
          <w:b/>
          <w:bCs/>
        </w:rPr>
        <w:t>Renewable Integration</w:t>
      </w:r>
    </w:p>
    <w:p w14:paraId="1EAE47C1" w14:textId="77777777" w:rsidR="00235E14" w:rsidRPr="00235E14" w:rsidRDefault="00235E14" w:rsidP="00235E14">
      <w:r w:rsidRPr="00235E14">
        <w:t xml:space="preserve">SOFCs’ compatibility with hydrogen and biogas enables smoother renewable-energy integration. </w:t>
      </w:r>
      <w:hyperlink r:id="rId18" w:tgtFrame="_blank" w:history="1">
        <w:r w:rsidRPr="00235E14">
          <w:rPr>
            <w:rStyle w:val="Hyperlink"/>
          </w:rPr>
          <w:t>Fortune Business Insights+1</w:t>
        </w:r>
      </w:hyperlink>
    </w:p>
    <w:p w14:paraId="1F038890" w14:textId="77777777" w:rsidR="00235E14" w:rsidRPr="00235E14" w:rsidRDefault="00235E14" w:rsidP="00235E14">
      <w:r w:rsidRPr="00235E14">
        <w:pict w14:anchorId="0D227E1B">
          <v:rect id="_x0000_i1090" style="width:0;height:1.5pt" o:hralign="center" o:hrstd="t" o:hr="t" fillcolor="#a0a0a0" stroked="f"/>
        </w:pict>
      </w:r>
    </w:p>
    <w:p w14:paraId="659AC0CC" w14:textId="77777777" w:rsidR="00235E14" w:rsidRPr="00235E14" w:rsidRDefault="00235E14" w:rsidP="00235E14">
      <w:pPr>
        <w:rPr>
          <w:b/>
          <w:bCs/>
        </w:rPr>
      </w:pPr>
      <w:r w:rsidRPr="00235E14">
        <w:rPr>
          <w:b/>
          <w:bCs/>
        </w:rPr>
        <w:t>Obstacles to Broader Deployment</w:t>
      </w:r>
    </w:p>
    <w:p w14:paraId="7CE32CB2" w14:textId="77777777" w:rsidR="00235E14" w:rsidRPr="00235E14" w:rsidRDefault="00235E14" w:rsidP="00235E14">
      <w:r w:rsidRPr="00235E14">
        <w:t>Despite potential, several hurdles exist:</w:t>
      </w:r>
    </w:p>
    <w:p w14:paraId="323699A8" w14:textId="77777777" w:rsidR="00235E14" w:rsidRPr="00235E14" w:rsidRDefault="00235E14" w:rsidP="00235E14">
      <w:pPr>
        <w:numPr>
          <w:ilvl w:val="0"/>
          <w:numId w:val="5"/>
        </w:numPr>
      </w:pPr>
      <w:r w:rsidRPr="00235E14">
        <w:rPr>
          <w:b/>
          <w:bCs/>
        </w:rPr>
        <w:t>High system costs</w:t>
      </w:r>
      <w:r w:rsidRPr="00235E14">
        <w:t xml:space="preserve">, especially for balance-of-plant and stack fabrication. </w:t>
      </w:r>
      <w:hyperlink r:id="rId19" w:tgtFrame="_blank" w:history="1">
        <w:r w:rsidRPr="00235E14">
          <w:rPr>
            <w:rStyle w:val="Hyperlink"/>
          </w:rPr>
          <w:t>Fortune Business Insights</w:t>
        </w:r>
      </w:hyperlink>
    </w:p>
    <w:p w14:paraId="73B19892" w14:textId="77777777" w:rsidR="00235E14" w:rsidRPr="00235E14" w:rsidRDefault="00235E14" w:rsidP="00235E14">
      <w:pPr>
        <w:numPr>
          <w:ilvl w:val="0"/>
          <w:numId w:val="5"/>
        </w:numPr>
      </w:pPr>
      <w:r w:rsidRPr="00235E14">
        <w:rPr>
          <w:b/>
          <w:bCs/>
        </w:rPr>
        <w:t>Technical complexities</w:t>
      </w:r>
      <w:r w:rsidRPr="00235E14">
        <w:t xml:space="preserve">, including slow oxygen reduction kinetics at operational temperatures (~600–800°C). </w:t>
      </w:r>
      <w:hyperlink r:id="rId20" w:tgtFrame="_blank" w:history="1">
        <w:r w:rsidRPr="00235E14">
          <w:rPr>
            <w:rStyle w:val="Hyperlink"/>
          </w:rPr>
          <w:t>Fortune Business Insights</w:t>
        </w:r>
      </w:hyperlink>
    </w:p>
    <w:p w14:paraId="7F37115F" w14:textId="77777777" w:rsidR="00235E14" w:rsidRPr="00235E14" w:rsidRDefault="00235E14" w:rsidP="00235E14">
      <w:pPr>
        <w:numPr>
          <w:ilvl w:val="0"/>
          <w:numId w:val="5"/>
        </w:numPr>
      </w:pPr>
      <w:r w:rsidRPr="00235E14">
        <w:rPr>
          <w:b/>
          <w:bCs/>
        </w:rPr>
        <w:t>Competition from other fuel cell types</w:t>
      </w:r>
      <w:r w:rsidRPr="00235E14">
        <w:t xml:space="preserve">, like PEMFCs, which offer faster startup and lower-temperature reliability. </w:t>
      </w:r>
      <w:hyperlink r:id="rId21" w:tgtFrame="_blank" w:history="1">
        <w:r w:rsidRPr="00235E14">
          <w:rPr>
            <w:rStyle w:val="Hyperlink"/>
          </w:rPr>
          <w:t>Fortune Business Insights+1</w:t>
        </w:r>
      </w:hyperlink>
    </w:p>
    <w:p w14:paraId="7EA25EEC" w14:textId="77777777" w:rsidR="00235E14" w:rsidRPr="00235E14" w:rsidRDefault="00235E14" w:rsidP="00235E14">
      <w:r w:rsidRPr="00235E14">
        <w:pict w14:anchorId="7F4C96D0">
          <v:rect id="_x0000_i1091" style="width:0;height:1.5pt" o:hralign="center" o:hrstd="t" o:hr="t" fillcolor="#a0a0a0" stroked="f"/>
        </w:pict>
      </w:r>
    </w:p>
    <w:p w14:paraId="362075DA" w14:textId="77777777" w:rsidR="00235E14" w:rsidRPr="00235E14" w:rsidRDefault="00235E14" w:rsidP="00235E14">
      <w:pPr>
        <w:rPr>
          <w:b/>
          <w:bCs/>
        </w:rPr>
      </w:pPr>
      <w:r w:rsidRPr="00235E14">
        <w:rPr>
          <w:b/>
          <w:bCs/>
        </w:rPr>
        <w:t>Innovation and Competitive Landscape</w:t>
      </w:r>
    </w:p>
    <w:p w14:paraId="1655F840" w14:textId="77777777" w:rsidR="00235E14" w:rsidRPr="00235E14" w:rsidRDefault="00235E14" w:rsidP="00235E14">
      <w:r w:rsidRPr="00235E14">
        <w:lastRenderedPageBreak/>
        <w:t>Leading players include:</w:t>
      </w:r>
    </w:p>
    <w:p w14:paraId="7B2170BC" w14:textId="77777777" w:rsidR="00235E14" w:rsidRPr="00235E14" w:rsidRDefault="00235E14" w:rsidP="00235E14">
      <w:pPr>
        <w:numPr>
          <w:ilvl w:val="0"/>
          <w:numId w:val="6"/>
        </w:numPr>
      </w:pPr>
      <w:r w:rsidRPr="00235E14">
        <w:rPr>
          <w:b/>
          <w:bCs/>
        </w:rPr>
        <w:t>Bloom Energy</w:t>
      </w:r>
      <w:r w:rsidRPr="00235E14">
        <w:t xml:space="preserve">, </w:t>
      </w:r>
      <w:r w:rsidRPr="00235E14">
        <w:rPr>
          <w:b/>
          <w:bCs/>
        </w:rPr>
        <w:t>Ceres Power</w:t>
      </w:r>
      <w:r w:rsidRPr="00235E14">
        <w:t xml:space="preserve">, </w:t>
      </w:r>
      <w:r w:rsidRPr="00235E14">
        <w:rPr>
          <w:b/>
          <w:bCs/>
        </w:rPr>
        <w:t>Mitsubishi Power</w:t>
      </w:r>
      <w:r w:rsidRPr="00235E14">
        <w:t xml:space="preserve">, </w:t>
      </w:r>
      <w:r w:rsidRPr="00235E14">
        <w:rPr>
          <w:b/>
          <w:bCs/>
        </w:rPr>
        <w:t>Sunfire</w:t>
      </w:r>
      <w:r w:rsidRPr="00235E14">
        <w:t xml:space="preserve">, </w:t>
      </w:r>
      <w:r w:rsidRPr="00235E14">
        <w:rPr>
          <w:b/>
          <w:bCs/>
        </w:rPr>
        <w:t>FuelCell Energy</w:t>
      </w:r>
      <w:r w:rsidRPr="00235E14">
        <w:t xml:space="preserve">, </w:t>
      </w:r>
      <w:r w:rsidRPr="00235E14">
        <w:rPr>
          <w:b/>
          <w:bCs/>
        </w:rPr>
        <w:t>Siemens AG</w:t>
      </w:r>
      <w:r w:rsidRPr="00235E14">
        <w:t xml:space="preserve">, and </w:t>
      </w:r>
      <w:proofErr w:type="spellStart"/>
      <w:r w:rsidRPr="00235E14">
        <w:rPr>
          <w:b/>
          <w:bCs/>
        </w:rPr>
        <w:t>PowerCell</w:t>
      </w:r>
      <w:proofErr w:type="spellEnd"/>
      <w:r w:rsidRPr="00235E14">
        <w:rPr>
          <w:b/>
          <w:bCs/>
        </w:rPr>
        <w:t xml:space="preserve"> Sweden</w:t>
      </w:r>
      <w:r w:rsidRPr="00235E14">
        <w:t xml:space="preserve">, among others. </w:t>
      </w:r>
      <w:hyperlink r:id="rId22" w:tgtFrame="_blank" w:history="1">
        <w:r w:rsidRPr="00235E14">
          <w:rPr>
            <w:rStyle w:val="Hyperlink"/>
          </w:rPr>
          <w:t>Market Research Future+2MAXIMIZE MARKET RESEARCH+2</w:t>
        </w:r>
      </w:hyperlink>
    </w:p>
    <w:p w14:paraId="4CEED30F" w14:textId="77777777" w:rsidR="00235E14" w:rsidRPr="00235E14" w:rsidRDefault="00235E14" w:rsidP="00235E14">
      <w:r w:rsidRPr="00235E14">
        <w:t>Some notable developments include:</w:t>
      </w:r>
    </w:p>
    <w:p w14:paraId="0123BC8C" w14:textId="77777777" w:rsidR="00235E14" w:rsidRPr="00235E14" w:rsidRDefault="00235E14" w:rsidP="00235E14">
      <w:pPr>
        <w:numPr>
          <w:ilvl w:val="0"/>
          <w:numId w:val="7"/>
        </w:numPr>
      </w:pPr>
      <w:r w:rsidRPr="00235E14">
        <w:t xml:space="preserve">Bosch’s recent withdrawal from a key partnership with Ceres Power, </w:t>
      </w:r>
      <w:proofErr w:type="spellStart"/>
      <w:r w:rsidRPr="00235E14">
        <w:t>signaling</w:t>
      </w:r>
      <w:proofErr w:type="spellEnd"/>
      <w:r w:rsidRPr="00235E14">
        <w:t xml:space="preserve"> market recalibration. </w:t>
      </w:r>
      <w:hyperlink r:id="rId23" w:tgtFrame="_blank" w:history="1">
        <w:r w:rsidRPr="00235E14">
          <w:rPr>
            <w:rStyle w:val="Hyperlink"/>
          </w:rPr>
          <w:t>thetimes.co.uk+1</w:t>
        </w:r>
      </w:hyperlink>
    </w:p>
    <w:p w14:paraId="5304EF05" w14:textId="77777777" w:rsidR="00235E14" w:rsidRPr="00235E14" w:rsidRDefault="00235E14" w:rsidP="00235E14">
      <w:pPr>
        <w:numPr>
          <w:ilvl w:val="0"/>
          <w:numId w:val="7"/>
        </w:numPr>
      </w:pPr>
      <w:r w:rsidRPr="00235E14">
        <w:t xml:space="preserve">New catalyst techniques, like </w:t>
      </w:r>
      <w:proofErr w:type="spellStart"/>
      <w:r w:rsidRPr="00235E14">
        <w:t>PrOx</w:t>
      </w:r>
      <w:proofErr w:type="spellEnd"/>
      <w:r w:rsidRPr="00235E14">
        <w:t xml:space="preserve"> coatings, promising to improve kinetics and lower costs. </w:t>
      </w:r>
      <w:hyperlink r:id="rId24" w:tgtFrame="_blank" w:history="1">
        <w:r w:rsidRPr="00235E14">
          <w:rPr>
            <w:rStyle w:val="Hyperlink"/>
          </w:rPr>
          <w:t>Fortune Business Insights</w:t>
        </w:r>
      </w:hyperlink>
    </w:p>
    <w:p w14:paraId="7F527A71" w14:textId="77777777" w:rsidR="00235E14" w:rsidRPr="00235E14" w:rsidRDefault="00235E14" w:rsidP="00235E14">
      <w:r w:rsidRPr="00235E14">
        <w:t>These signals reflect both the technological potential and growing pains of a formative sector.</w:t>
      </w:r>
    </w:p>
    <w:p w14:paraId="1A302E60" w14:textId="77777777" w:rsidR="00235E14" w:rsidRPr="00235E14" w:rsidRDefault="00235E14" w:rsidP="00235E14">
      <w:r w:rsidRPr="00235E14">
        <w:pict w14:anchorId="3842B4EE">
          <v:rect id="_x0000_i1092" style="width:0;height:1.5pt" o:hralign="center" o:hrstd="t" o:hr="t" fillcolor="#a0a0a0" stroked="f"/>
        </w:pict>
      </w:r>
    </w:p>
    <w:p w14:paraId="456FCCF3" w14:textId="77777777" w:rsidR="00235E14" w:rsidRPr="00235E14" w:rsidRDefault="00235E14" w:rsidP="00235E14">
      <w:pPr>
        <w:rPr>
          <w:b/>
          <w:bCs/>
        </w:rPr>
      </w:pPr>
      <w:r w:rsidRPr="00235E14">
        <w:rPr>
          <w:b/>
          <w:bCs/>
        </w:rPr>
        <w:t>Spotlight on Europe</w:t>
      </w:r>
    </w:p>
    <w:p w14:paraId="6D166955" w14:textId="77777777" w:rsidR="00235E14" w:rsidRPr="00235E14" w:rsidRDefault="00235E14" w:rsidP="00235E14">
      <w:r w:rsidRPr="00235E14">
        <w:t xml:space="preserve">In Europe, momentum is accelerating. The market size reached USD 230.7 million in 2024, and is expected to skyrocket to over USD 10 billion by 2035—driven mostly by CHP and stationary use. Europe’s CAGR is projected above 40%. </w:t>
      </w:r>
      <w:hyperlink r:id="rId25" w:tgtFrame="_blank" w:history="1">
        <w:r w:rsidRPr="00235E14">
          <w:rPr>
            <w:rStyle w:val="Hyperlink"/>
          </w:rPr>
          <w:t>Market Research Future</w:t>
        </w:r>
      </w:hyperlink>
    </w:p>
    <w:p w14:paraId="0FD3C0AB" w14:textId="77777777" w:rsidR="00235E14" w:rsidRPr="00235E14" w:rsidRDefault="00235E14" w:rsidP="00235E14">
      <w:r w:rsidRPr="00235E14">
        <w:t xml:space="preserve">Countries like Germany, the UK, and France are leading deployment, particularly in hydrogen-supported and industrial power generation applications. </w:t>
      </w:r>
      <w:hyperlink r:id="rId26" w:tgtFrame="_blank" w:history="1">
        <w:r w:rsidRPr="00235E14">
          <w:rPr>
            <w:rStyle w:val="Hyperlink"/>
          </w:rPr>
          <w:t xml:space="preserve">Market Research </w:t>
        </w:r>
        <w:proofErr w:type="spellStart"/>
        <w:r w:rsidRPr="00235E14">
          <w:rPr>
            <w:rStyle w:val="Hyperlink"/>
          </w:rPr>
          <w:t>Future</w:t>
        </w:r>
      </w:hyperlink>
      <w:hyperlink r:id="rId27" w:tgtFrame="_blank" w:history="1">
        <w:r w:rsidRPr="00235E14">
          <w:rPr>
            <w:rStyle w:val="Hyperlink"/>
          </w:rPr>
          <w:t>Fortune</w:t>
        </w:r>
        <w:proofErr w:type="spellEnd"/>
        <w:r w:rsidRPr="00235E14">
          <w:rPr>
            <w:rStyle w:val="Hyperlink"/>
          </w:rPr>
          <w:t xml:space="preserve"> Business Insights</w:t>
        </w:r>
      </w:hyperlink>
    </w:p>
    <w:p w14:paraId="49930B0E" w14:textId="77777777" w:rsidR="00235E14" w:rsidRPr="00235E14" w:rsidRDefault="00235E14" w:rsidP="00235E14">
      <w:r w:rsidRPr="00235E14">
        <w:pict w14:anchorId="7223E29A">
          <v:rect id="_x0000_i1093" style="width:0;height:1.5pt" o:hralign="center" o:hrstd="t" o:hr="t" fillcolor="#a0a0a0" stroked="f"/>
        </w:pict>
      </w:r>
    </w:p>
    <w:p w14:paraId="291BF500" w14:textId="77777777" w:rsidR="00235E14" w:rsidRPr="00235E14" w:rsidRDefault="00235E14" w:rsidP="00235E14">
      <w:pPr>
        <w:rPr>
          <w:b/>
          <w:bCs/>
        </w:rPr>
      </w:pPr>
      <w:r w:rsidRPr="00235E14">
        <w:rPr>
          <w:b/>
          <w:bCs/>
        </w:rPr>
        <w:t>Future Outlook: What’s Next for SOFCs?</w:t>
      </w:r>
    </w:p>
    <w:p w14:paraId="3092BD78" w14:textId="77777777" w:rsidR="00235E14" w:rsidRPr="00235E14" w:rsidRDefault="00235E14" w:rsidP="00235E14">
      <w:pPr>
        <w:rPr>
          <w:b/>
          <w:bCs/>
        </w:rPr>
      </w:pPr>
      <w:r w:rsidRPr="00235E14">
        <w:rPr>
          <w:b/>
          <w:bCs/>
        </w:rPr>
        <w:t>Wider Energy Integration</w:t>
      </w:r>
    </w:p>
    <w:p w14:paraId="087B6E7A" w14:textId="77777777" w:rsidR="00235E14" w:rsidRPr="00235E14" w:rsidRDefault="00235E14" w:rsidP="00235E14">
      <w:r w:rsidRPr="00235E14">
        <w:t>SOFCs are set to power microgrids, hydrogen hubs, and hybrid energy systems that combine solar or wind output with scalable backup power.</w:t>
      </w:r>
    </w:p>
    <w:p w14:paraId="0249F58C" w14:textId="77777777" w:rsidR="00235E14" w:rsidRPr="00235E14" w:rsidRDefault="00235E14" w:rsidP="00235E14">
      <w:pPr>
        <w:rPr>
          <w:b/>
          <w:bCs/>
        </w:rPr>
      </w:pPr>
      <w:r w:rsidRPr="00235E14">
        <w:rPr>
          <w:b/>
          <w:bCs/>
        </w:rPr>
        <w:t>Advanced Materials &amp; Manufacturing</w:t>
      </w:r>
    </w:p>
    <w:p w14:paraId="6A5DAA50" w14:textId="77777777" w:rsidR="00235E14" w:rsidRPr="00235E14" w:rsidRDefault="00235E14" w:rsidP="00235E14">
      <w:r w:rsidRPr="00235E14">
        <w:t>Efforts in low-cost manufacturing, improved catalyst coatings, and modular design will help reduce barriers.</w:t>
      </w:r>
    </w:p>
    <w:p w14:paraId="265BB095" w14:textId="77777777" w:rsidR="00235E14" w:rsidRPr="00235E14" w:rsidRDefault="00235E14" w:rsidP="00235E14">
      <w:pPr>
        <w:rPr>
          <w:b/>
          <w:bCs/>
        </w:rPr>
      </w:pPr>
      <w:r w:rsidRPr="00235E14">
        <w:rPr>
          <w:b/>
          <w:bCs/>
        </w:rPr>
        <w:t>Expanded Applications</w:t>
      </w:r>
    </w:p>
    <w:p w14:paraId="269215BA" w14:textId="77777777" w:rsidR="00235E14" w:rsidRPr="00235E14" w:rsidRDefault="00235E14" w:rsidP="00235E14">
      <w:r w:rsidRPr="00235E14">
        <w:t xml:space="preserve">Expect rollout in </w:t>
      </w:r>
      <w:proofErr w:type="spellStart"/>
      <w:r w:rsidRPr="00235E14">
        <w:t>smal</w:t>
      </w:r>
      <w:proofErr w:type="spellEnd"/>
      <w:r w:rsidRPr="00235E14">
        <w:noBreakHyphen/>
        <w:t>scale transport, marine auxiliary units, and decentralized commercial energy solutions as proof-of-concepts mature.</w:t>
      </w:r>
    </w:p>
    <w:p w14:paraId="4D5852FE" w14:textId="77777777" w:rsidR="00235E14" w:rsidRPr="00235E14" w:rsidRDefault="00235E14" w:rsidP="00235E14">
      <w:r w:rsidRPr="00235E14">
        <w:pict w14:anchorId="65B92D79">
          <v:rect id="_x0000_i1094" style="width:0;height:1.5pt" o:hralign="center" o:hrstd="t" o:hr="t" fillcolor="#a0a0a0" stroked="f"/>
        </w:pict>
      </w:r>
    </w:p>
    <w:p w14:paraId="5074AC9E" w14:textId="77777777" w:rsidR="00235E14" w:rsidRPr="00235E14" w:rsidRDefault="00235E14" w:rsidP="00235E14">
      <w:pPr>
        <w:rPr>
          <w:b/>
          <w:bCs/>
        </w:rPr>
      </w:pPr>
      <w:r w:rsidRPr="00235E14">
        <w:rPr>
          <w:b/>
          <w:bCs/>
        </w:rPr>
        <w:t>Conclusion</w:t>
      </w:r>
    </w:p>
    <w:p w14:paraId="270F1B24" w14:textId="77777777" w:rsidR="00235E14" w:rsidRPr="00235E14" w:rsidRDefault="00235E14" w:rsidP="00235E14">
      <w:r w:rsidRPr="00235E14">
        <w:t>Solid oxide fuel cells offer a potent mix of efficiency, fuel flexibility, and emission reduction potential. With a projected global valuation north of USD 12 billion by 2032 and strong regional adoption underway, SOFCs represent more than just technology—they’re a strategic enabler for renewable energy transformation.</w:t>
      </w:r>
    </w:p>
    <w:p w14:paraId="09910395" w14:textId="77777777" w:rsidR="00235E14" w:rsidRPr="00235E14" w:rsidRDefault="00235E14" w:rsidP="00235E14">
      <w:r w:rsidRPr="00235E14">
        <w:lastRenderedPageBreak/>
        <w:t>For sectors focused on energy sustainability and resilience, SOFCs offer one of the most compelling solutions today. The successes and stumbles of companies like Ceres or Bloom Energy serve as signals of both the momentum and the complexity of this evolving energy paradigm.</w:t>
      </w:r>
    </w:p>
    <w:p w14:paraId="75CD6080" w14:textId="77777777" w:rsidR="00E068C5" w:rsidRPr="00235E14" w:rsidRDefault="00E068C5" w:rsidP="00235E14"/>
    <w:sectPr w:rsidR="00E068C5" w:rsidRPr="00235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F53"/>
    <w:multiLevelType w:val="multilevel"/>
    <w:tmpl w:val="62F2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6E49"/>
    <w:multiLevelType w:val="multilevel"/>
    <w:tmpl w:val="851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C20A8"/>
    <w:multiLevelType w:val="multilevel"/>
    <w:tmpl w:val="FD1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C7D36"/>
    <w:multiLevelType w:val="multilevel"/>
    <w:tmpl w:val="C8C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A1FA9"/>
    <w:multiLevelType w:val="multilevel"/>
    <w:tmpl w:val="83E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A38A6"/>
    <w:multiLevelType w:val="multilevel"/>
    <w:tmpl w:val="0FF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42E6C"/>
    <w:multiLevelType w:val="multilevel"/>
    <w:tmpl w:val="525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235057">
    <w:abstractNumId w:val="2"/>
  </w:num>
  <w:num w:numId="2" w16cid:durableId="198400593">
    <w:abstractNumId w:val="6"/>
  </w:num>
  <w:num w:numId="3" w16cid:durableId="1838301118">
    <w:abstractNumId w:val="1"/>
  </w:num>
  <w:num w:numId="4" w16cid:durableId="723942769">
    <w:abstractNumId w:val="3"/>
  </w:num>
  <w:num w:numId="5" w16cid:durableId="266933153">
    <w:abstractNumId w:val="5"/>
  </w:num>
  <w:num w:numId="6" w16cid:durableId="1194339784">
    <w:abstractNumId w:val="4"/>
  </w:num>
  <w:num w:numId="7" w16cid:durableId="167965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75"/>
    <w:rsid w:val="00235E14"/>
    <w:rsid w:val="003A3F51"/>
    <w:rsid w:val="00E068C5"/>
    <w:rsid w:val="00E93A89"/>
    <w:rsid w:val="00FB7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9B2A1-7F54-483A-8567-98D956D2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B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B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B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B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B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B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B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B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B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B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B75"/>
    <w:rPr>
      <w:rFonts w:eastAsiaTheme="majorEastAsia" w:cstheme="majorBidi"/>
      <w:color w:val="272727" w:themeColor="text1" w:themeTint="D8"/>
    </w:rPr>
  </w:style>
  <w:style w:type="paragraph" w:styleId="Title">
    <w:name w:val="Title"/>
    <w:basedOn w:val="Normal"/>
    <w:next w:val="Normal"/>
    <w:link w:val="TitleChar"/>
    <w:uiPriority w:val="10"/>
    <w:qFormat/>
    <w:rsid w:val="00FB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B75"/>
    <w:pPr>
      <w:spacing w:before="160"/>
      <w:jc w:val="center"/>
    </w:pPr>
    <w:rPr>
      <w:i/>
      <w:iCs/>
      <w:color w:val="404040" w:themeColor="text1" w:themeTint="BF"/>
    </w:rPr>
  </w:style>
  <w:style w:type="character" w:customStyle="1" w:styleId="QuoteChar">
    <w:name w:val="Quote Char"/>
    <w:basedOn w:val="DefaultParagraphFont"/>
    <w:link w:val="Quote"/>
    <w:uiPriority w:val="29"/>
    <w:rsid w:val="00FB7B75"/>
    <w:rPr>
      <w:i/>
      <w:iCs/>
      <w:color w:val="404040" w:themeColor="text1" w:themeTint="BF"/>
    </w:rPr>
  </w:style>
  <w:style w:type="paragraph" w:styleId="ListParagraph">
    <w:name w:val="List Paragraph"/>
    <w:basedOn w:val="Normal"/>
    <w:uiPriority w:val="34"/>
    <w:qFormat/>
    <w:rsid w:val="00FB7B75"/>
    <w:pPr>
      <w:ind w:left="720"/>
      <w:contextualSpacing/>
    </w:pPr>
  </w:style>
  <w:style w:type="character" w:styleId="IntenseEmphasis">
    <w:name w:val="Intense Emphasis"/>
    <w:basedOn w:val="DefaultParagraphFont"/>
    <w:uiPriority w:val="21"/>
    <w:qFormat/>
    <w:rsid w:val="00FB7B75"/>
    <w:rPr>
      <w:i/>
      <w:iCs/>
      <w:color w:val="2F5496" w:themeColor="accent1" w:themeShade="BF"/>
    </w:rPr>
  </w:style>
  <w:style w:type="paragraph" w:styleId="IntenseQuote">
    <w:name w:val="Intense Quote"/>
    <w:basedOn w:val="Normal"/>
    <w:next w:val="Normal"/>
    <w:link w:val="IntenseQuoteChar"/>
    <w:uiPriority w:val="30"/>
    <w:qFormat/>
    <w:rsid w:val="00FB7B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B75"/>
    <w:rPr>
      <w:i/>
      <w:iCs/>
      <w:color w:val="2F5496" w:themeColor="accent1" w:themeShade="BF"/>
    </w:rPr>
  </w:style>
  <w:style w:type="character" w:styleId="IntenseReference">
    <w:name w:val="Intense Reference"/>
    <w:basedOn w:val="DefaultParagraphFont"/>
    <w:uiPriority w:val="32"/>
    <w:qFormat/>
    <w:rsid w:val="00FB7B75"/>
    <w:rPr>
      <w:b/>
      <w:bCs/>
      <w:smallCaps/>
      <w:color w:val="2F5496" w:themeColor="accent1" w:themeShade="BF"/>
      <w:spacing w:val="5"/>
    </w:rPr>
  </w:style>
  <w:style w:type="character" w:styleId="Hyperlink">
    <w:name w:val="Hyperlink"/>
    <w:basedOn w:val="DefaultParagraphFont"/>
    <w:uiPriority w:val="99"/>
    <w:unhideWhenUsed/>
    <w:rsid w:val="00235E14"/>
    <w:rPr>
      <w:color w:val="0563C1" w:themeColor="hyperlink"/>
      <w:u w:val="single"/>
    </w:rPr>
  </w:style>
  <w:style w:type="character" w:styleId="UnresolvedMention">
    <w:name w:val="Unresolved Mention"/>
    <w:basedOn w:val="DefaultParagraphFont"/>
    <w:uiPriority w:val="99"/>
    <w:semiHidden/>
    <w:unhideWhenUsed/>
    <w:rsid w:val="00235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izemarketresearch.com/market-report/global-solid-oxide-fuel-cell-market/21129/?utm_source=chatgpt.com" TargetMode="External"/><Relationship Id="rId13" Type="http://schemas.openxmlformats.org/officeDocument/2006/relationships/hyperlink" Target="https://www.gminsights.com/industry-analysis/north-america-solid-oxide-fuel-cells-market?utm_source=chatgpt.com" TargetMode="External"/><Relationship Id="rId18" Type="http://schemas.openxmlformats.org/officeDocument/2006/relationships/hyperlink" Target="https://www.fortunebusinessinsights.com/industry-reports/solid-oxide-fuel-cell-market-101306?utm_source=chatgpt.com" TargetMode="External"/><Relationship Id="rId26" Type="http://schemas.openxmlformats.org/officeDocument/2006/relationships/hyperlink" Target="https://www.marketresearchfuture.com/reports/europe-solid-oxide-fuel-cell-market-48698?utm_source=chatgpt.com" TargetMode="External"/><Relationship Id="rId3" Type="http://schemas.openxmlformats.org/officeDocument/2006/relationships/settings" Target="settings.xml"/><Relationship Id="rId21" Type="http://schemas.openxmlformats.org/officeDocument/2006/relationships/hyperlink" Target="https://www.fortunebusinessinsights.com/industry-reports/solid-oxide-fuel-cell-market-101306?utm_source=chatgpt.com" TargetMode="External"/><Relationship Id="rId7" Type="http://schemas.openxmlformats.org/officeDocument/2006/relationships/hyperlink" Target="https://www.fortunebusinessinsights.com/industry-reports/solid-oxide-fuel-cell-market-101306?utm_source=chatgpt.com" TargetMode="External"/><Relationship Id="rId12" Type="http://schemas.openxmlformats.org/officeDocument/2006/relationships/hyperlink" Target="https://dataintelo.com/report/solid-oxide-fuel-cell-market" TargetMode="External"/><Relationship Id="rId17" Type="http://schemas.openxmlformats.org/officeDocument/2006/relationships/hyperlink" Target="https://www.fortunebusinessinsights.com/industry-reports/solid-oxide-fuel-cell-market-101306?utm_source=chatgpt.com" TargetMode="External"/><Relationship Id="rId25" Type="http://schemas.openxmlformats.org/officeDocument/2006/relationships/hyperlink" Target="https://www.marketresearchfuture.com/reports/europe-solid-oxide-fuel-cell-market-48698?utm_source=chatgpt.com" TargetMode="External"/><Relationship Id="rId2" Type="http://schemas.openxmlformats.org/officeDocument/2006/relationships/styles" Target="styles.xml"/><Relationship Id="rId16" Type="http://schemas.openxmlformats.org/officeDocument/2006/relationships/hyperlink" Target="https://www.zionmarketresearch.com/report/solid-oxide-fuel-cell-market?utm_source=chatgpt.com" TargetMode="External"/><Relationship Id="rId20" Type="http://schemas.openxmlformats.org/officeDocument/2006/relationships/hyperlink" Target="https://www.fortunebusinessinsights.com/industry-reports/solid-oxide-fuel-cell-market-101306?utm_source=chatgp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ketintelo.com/report/solid-oxide-fuel-cell-market" TargetMode="External"/><Relationship Id="rId11" Type="http://schemas.openxmlformats.org/officeDocument/2006/relationships/hyperlink" Target="https://dataintelo.com/report/solid-oxide-fuel-cell-market" TargetMode="External"/><Relationship Id="rId24" Type="http://schemas.openxmlformats.org/officeDocument/2006/relationships/hyperlink" Target="https://www.fortunebusinessinsights.com/industry-reports/solid-oxide-fuel-cell-market-101306?utm_source=chatgpt.com" TargetMode="External"/><Relationship Id="rId5" Type="http://schemas.openxmlformats.org/officeDocument/2006/relationships/hyperlink" Target="https://marketintelo.com/report/solid-oxide-fuel-cell-market" TargetMode="External"/><Relationship Id="rId15" Type="http://schemas.openxmlformats.org/officeDocument/2006/relationships/hyperlink" Target="https://h2-tech.com/news/2024/01-2024/solid-oxide-fuel-cells-market-is-expected-to-reach-21-3-b-by-2033/?utm_source=chatgpt.com" TargetMode="External"/><Relationship Id="rId23" Type="http://schemas.openxmlformats.org/officeDocument/2006/relationships/hyperlink" Target="https://www.thetimes.co.uk/article/ceres-power-share-price-falls-after-bosch-ends-fuel-cell-contract-r9h5f0nfh?utm_source=chatgpt.com" TargetMode="External"/><Relationship Id="rId28" Type="http://schemas.openxmlformats.org/officeDocument/2006/relationships/fontTable" Target="fontTable.xml"/><Relationship Id="rId10" Type="http://schemas.openxmlformats.org/officeDocument/2006/relationships/hyperlink" Target="https://h2-tech.com/news/2024/01-2024/solid-oxide-fuel-cells-market-is-expected-to-reach-21-3-b-by-2033/?utm_source=chatgpt.com" TargetMode="External"/><Relationship Id="rId19" Type="http://schemas.openxmlformats.org/officeDocument/2006/relationships/hyperlink" Target="https://www.fortunebusinessinsights.com/industry-reports/solid-oxide-fuel-cell-market-101306?utm_source=chatgpt.com" TargetMode="External"/><Relationship Id="rId4" Type="http://schemas.openxmlformats.org/officeDocument/2006/relationships/webSettings" Target="webSettings.xml"/><Relationship Id="rId9" Type="http://schemas.openxmlformats.org/officeDocument/2006/relationships/hyperlink" Target="https://www.marketresearchfuture.com/reports/europe-solid-oxide-fuel-cell-market-48698?utm_source=chatgpt.com" TargetMode="External"/><Relationship Id="rId14" Type="http://schemas.openxmlformats.org/officeDocument/2006/relationships/hyperlink" Target="https://www.marketresearchfuture.com/reports/europe-solid-oxide-fuel-cell-market-48698?utm_source=chatgpt.com" TargetMode="External"/><Relationship Id="rId22" Type="http://schemas.openxmlformats.org/officeDocument/2006/relationships/hyperlink" Target="https://www.marketresearchfuture.com/reports/europe-solid-oxide-fuel-cell-market-48698?utm_source=chatgpt.com" TargetMode="External"/><Relationship Id="rId27" Type="http://schemas.openxmlformats.org/officeDocument/2006/relationships/hyperlink" Target="https://www.fortunebusinessinsights.com/europe-solid-oxide-fuel-cell-for-chp-application-market-107108?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Pandey</dc:creator>
  <cp:keywords/>
  <dc:description/>
  <cp:lastModifiedBy>Animesh Pandey</cp:lastModifiedBy>
  <cp:revision>2</cp:revision>
  <dcterms:created xsi:type="dcterms:W3CDTF">2025-08-06T06:44:00Z</dcterms:created>
  <dcterms:modified xsi:type="dcterms:W3CDTF">2025-08-06T06:44:00Z</dcterms:modified>
</cp:coreProperties>
</file>