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金色傳說・穩健版 EA 產品說明</w:t>
      </w:r>
    </w:p>
    <w:p>
      <w:pPr>
        <w:jc w:val="center"/>
      </w:pPr>
      <w:r>
        <w:rPr>
          <w:color w:val="595959"/>
          <w:sz w:val="26"/>
        </w:rPr>
        <w:t>金色傳說核心 × 最大五張持倉上限</w:t>
      </w:r>
    </w:p>
    <w:p>
      <w:pPr>
        <w:pStyle w:val="Heading1"/>
      </w:pPr>
      <w:r>
        <w:rPr>
          <w:color w:val="000000"/>
          <w:sz w:val="30"/>
        </w:rPr>
        <w:t>產品簡介</w:t>
      </w:r>
    </w:p>
    <w:p>
      <w:r>
        <w:rPr>
          <w:sz w:val="22"/>
        </w:rPr>
        <w:t>本版本基於金色傳說 v3.0 策略核心，將最大持倉張數明確鎖定在 5 張以內，符合部分 Prop 帳戶或個人風險偏好對單一商品同時持倉數量的限制。其他自適應波動率、風險管理、早盤模式等功能與標準版一致。</w:t>
      </w:r>
    </w:p>
    <w:p>
      <w:pPr>
        <w:pStyle w:val="Heading1"/>
      </w:pPr>
      <w:r>
        <w:rPr>
          <w:color w:val="000000"/>
          <w:sz w:val="30"/>
        </w:rPr>
        <w:t>主要特色</w:t>
      </w:r>
    </w:p>
    <w:p>
      <w:pPr>
        <w:pStyle w:val="Heading2"/>
      </w:pPr>
      <w:r>
        <w:rPr>
          <w:color w:val="000000"/>
          <w:sz w:val="26"/>
        </w:rPr>
        <w:t>持倉硬上限</w:t>
      </w:r>
    </w:p>
    <w:p>
      <w:r>
        <w:rPr>
          <w:sz w:val="22"/>
        </w:rPr>
        <w:t>MaxPositions 預設為 5，無論訊號多強都不會超過五張同時持倉。</w:t>
      </w:r>
    </w:p>
    <w:p>
      <w:pPr>
        <w:pStyle w:val="Heading2"/>
      </w:pPr>
      <w:r>
        <w:rPr>
          <w:color w:val="000000"/>
          <w:sz w:val="26"/>
        </w:rPr>
        <w:t>自適應波動率</w:t>
      </w:r>
    </w:p>
    <w:p>
      <w:r>
        <w:rPr>
          <w:sz w:val="22"/>
        </w:rPr>
        <w:t>依市場波動動態調整開倉/平倉因子，自動適應不同行情強度。</w:t>
      </w:r>
    </w:p>
    <w:p>
      <w:pPr>
        <w:pStyle w:val="Heading2"/>
      </w:pPr>
      <w:r>
        <w:rPr>
          <w:color w:val="000000"/>
          <w:sz w:val="26"/>
        </w:rPr>
        <w:t>雙風險管理模式</w:t>
      </w:r>
    </w:p>
    <w:p>
      <w:r>
        <w:rPr>
          <w:sz w:val="22"/>
        </w:rPr>
        <w:t>提供「自動風險」與「手動風險」兩種模式，自動模式依波動率調節靈敏度，手動模式可精確設定日損/單筆損上限。</w:t>
      </w:r>
    </w:p>
    <w:p>
      <w:pPr>
        <w:pStyle w:val="Heading2"/>
      </w:pPr>
      <w:r>
        <w:rPr>
          <w:color w:val="000000"/>
          <w:sz w:val="26"/>
        </w:rPr>
        <w:t>早盤模式可選</w:t>
      </w:r>
    </w:p>
    <w:p>
      <w:r>
        <w:rPr>
          <w:sz w:val="22"/>
        </w:rPr>
        <w:t>可選擇是否僅於早盤時段交易，並指定交易開始與結束時段。</w:t>
      </w:r>
    </w:p>
    <w:p>
      <w:pPr>
        <w:pStyle w:val="Heading2"/>
      </w:pPr>
      <w:r>
        <w:rPr>
          <w:color w:val="000000"/>
          <w:sz w:val="26"/>
        </w:rPr>
        <w:t>固定止損保護</w:t>
      </w:r>
    </w:p>
    <w:p>
      <w:r>
        <w:rPr>
          <w:sz w:val="22"/>
        </w:rPr>
        <w:t>每筆部位皆配置固定止損點數，確保單筆風險可控。</w:t>
      </w:r>
    </w:p>
    <w:p>
      <w:pPr>
        <w:pStyle w:val="Heading2"/>
      </w:pPr>
      <w:r>
        <w:rPr>
          <w:color w:val="000000"/>
          <w:sz w:val="26"/>
        </w:rPr>
        <w:t>複利選項</w:t>
      </w:r>
    </w:p>
    <w:p>
      <w:r>
        <w:rPr>
          <w:sz w:val="22"/>
        </w:rPr>
        <w:t>可選擇是否啟用複利，由風險係數動態調整下單手數。</w:t>
      </w:r>
    </w:p>
    <w:p>
      <w:pPr>
        <w:pStyle w:val="Heading1"/>
      </w:pPr>
      <w:r>
        <w:rPr>
          <w:color w:val="000000"/>
          <w:sz w:val="30"/>
        </w:rPr>
        <w:t>進場邏輯</w:t>
      </w:r>
    </w:p>
    <w:p>
      <w:r>
        <w:rPr>
          <w:sz w:val="22"/>
        </w:rPr>
        <w:t>依金色傳說核心邏輯運作：以開倉因子、自適應週期與波動率閾值判斷進場時機；當市場處於早盤或設定時段內時方接受進場訊號。</w:t>
      </w:r>
    </w:p>
    <w:p>
      <w:pPr>
        <w:pStyle w:val="Heading2"/>
      </w:pPr>
      <w:r>
        <w:rPr>
          <w:color w:val="000000"/>
          <w:sz w:val="26"/>
        </w:rPr>
        <w:t>開倉因子</w:t>
      </w:r>
    </w:p>
    <w:p>
      <w:r>
        <w:rPr>
          <w:sz w:val="22"/>
        </w:rPr>
        <w:t>KaiCangYinZi 控制進場敏感度，數值愈大進場條件愈嚴格。</w:t>
      </w:r>
    </w:p>
    <w:p>
      <w:pPr>
        <w:pStyle w:val="Heading2"/>
      </w:pPr>
      <w:r>
        <w:rPr>
          <w:color w:val="000000"/>
          <w:sz w:val="26"/>
        </w:rPr>
        <w:t>時段限制</w:t>
      </w:r>
    </w:p>
    <w:p>
      <w:r>
        <w:rPr>
          <w:sz w:val="22"/>
        </w:rPr>
        <w:t>啟用 ZaoPan 後僅在 Tima–Timb 區間內交易。</w:t>
      </w:r>
    </w:p>
    <w:p>
      <w:pPr>
        <w:pStyle w:val="Heading1"/>
      </w:pPr>
      <w:r>
        <w:rPr>
          <w:color w:val="000000"/>
          <w:sz w:val="30"/>
        </w:rPr>
        <w:t>加倉與管理邏輯</w:t>
      </w:r>
    </w:p>
    <w:p>
      <w:r>
        <w:rPr>
          <w:sz w:val="22"/>
        </w:rPr>
        <w:t>達訊號條件即加倉一張，最多累積至 5 張。每張部位獨立計算止損與保護機制。</w:t>
      </w:r>
    </w:p>
    <w:p>
      <w:pPr>
        <w:pStyle w:val="Heading1"/>
      </w:pPr>
      <w:r>
        <w:rPr>
          <w:color w:val="000000"/>
          <w:sz w:val="30"/>
        </w:rPr>
        <w:t>平倉與風控優先順序</w:t>
      </w:r>
    </w:p>
    <w:p>
      <w:r>
        <w:rPr>
          <w:sz w:val="22"/>
        </w:rPr>
        <w:t>系統內建多層止損與獲利保護機制，每個運行週期都會由上而下逐層檢查；任一層條件滿足即觸發對應動作，避免機制互相干擾。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順序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機制名稱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觸發條件（白話）</w:t>
            </w:r>
          </w:p>
        </w:tc>
        <w:tc>
          <w:tcPr>
            <w:tcW w:type="dxa" w:w="2160"/>
            <w:shd w:val="clear" w:color="auto" w:fill="C9A227"/>
          </w:tcPr>
          <w:p>
            <w:r/>
            <w:r>
              <w:rPr>
                <w:b/>
                <w:sz w:val="21"/>
              </w:rPr>
              <w:t>觸發動作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固定止損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StopLos 點數。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持倉上限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已持有 5 張部位。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停止新單，僅進行現有部位管理。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日最大虧損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當日累計虧損達 MaxDailyLoss。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停止新單。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單筆最大虧損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單筆浮虧達 MaxSingleLoss。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該筆部位平倉。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日止損比例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達 DailyStopoutRatio（如 5%）。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整批退場並暫停。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模式對照</w:t>
      </w:r>
    </w:p>
    <w:p>
      <w:r>
        <w:rPr>
          <w:sz w:val="22"/>
        </w:rPr>
        <w:t>本產品提供下列模式可選，可依持倉風格自由切換：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風險模式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自動風險</w:t>
            </w:r>
          </w:p>
        </w:tc>
        <w:tc>
          <w:tcPr>
            <w:tcW w:type="dxa" w:w="2880"/>
            <w:shd w:val="clear" w:color="auto" w:fill="C9A227"/>
          </w:tcPr>
          <w:p>
            <w:r/>
            <w:r>
              <w:rPr>
                <w:b/>
                <w:sz w:val="21"/>
              </w:rPr>
              <w:t>手動風險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手數計算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依波動率與風險係數自動調整。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依固定手數運行。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適合情境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希望策略自行適應市場節奏。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希望嚴格控制每筆手數與曝險。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適用對象</w:t>
      </w:r>
    </w:p>
    <w:p>
      <w:pPr>
        <w:pStyle w:val="ListParagraph"/>
        <w:ind w:left="425"/>
      </w:pPr>
      <w:r>
        <w:rPr>
          <w:sz w:val="22"/>
        </w:rPr>
        <w:t>• 希望以金色傳說邏輯運行、但需嚴格控制最大持倉數的使用者。</w:t>
      </w:r>
    </w:p>
    <w:p>
      <w:pPr>
        <w:pStyle w:val="ListParagraph"/>
        <w:ind w:left="425"/>
      </w:pPr>
      <w:r>
        <w:rPr>
          <w:sz w:val="22"/>
        </w:rPr>
        <w:t>• 受 Prop 帳戶或個人風險規則限制最大同時持倉數的投資人。</w:t>
      </w:r>
    </w:p>
    <w:p>
      <w:pPr>
        <w:pStyle w:val="Heading1"/>
      </w:pPr>
      <w:r>
        <w:rPr>
          <w:color w:val="000000"/>
          <w:sz w:val="30"/>
        </w:rPr>
        <w:t>系統需求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項目</w:t>
            </w:r>
          </w:p>
        </w:tc>
        <w:tc>
          <w:tcPr>
            <w:tcW w:type="dxa" w:w="4320"/>
            <w:shd w:val="clear" w:color="auto" w:fill="C9A227"/>
          </w:tcPr>
          <w:p>
            <w:r/>
            <w:r>
              <w:rPr>
                <w:b/>
                <w:sz w:val="21"/>
              </w:rPr>
              <w:t>說明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交易平台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MT4（.mq4）與 MT5（.mq5）皆提供。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可交易商品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黃金 CFD。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MT5 帳戶類型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對沖（Hedging）。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建議運行環境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VPS 24 小時運行。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建議掛載週期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M5–M15。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建議資金規模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5 張部位曝險預估約為單張的 5 倍，請依此配置保證金。</w:t>
            </w:r>
          </w:p>
        </w:tc>
      </w:tr>
    </w:tbl>
    <w:p>
      <w:pPr>
        <w:pStyle w:val="Heading1"/>
      </w:pPr>
      <w:r>
        <w:rPr>
          <w:color w:val="000000"/>
          <w:sz w:val="30"/>
        </w:rPr>
        <w:t>使用須知</w:t>
      </w:r>
    </w:p>
    <w:p>
      <w:r>
        <w:rPr>
          <w:sz w:val="22"/>
        </w:rPr>
        <w:t>持倉上限為硬約束，可能因此錯過部分加碼機會；屬於以風險可控換取機會的設計取捨。</w:t>
      </w:r>
    </w:p>
    <w:p>
      <w:r>
        <w:rPr>
          <w:sz w:val="22"/>
        </w:rPr>
        <w:t>其他注意事項與金色傳說標準版相同。</w:t>
      </w:r>
    </w:p>
    <w:p>
      <w:pPr>
        <w:jc w:val="center"/>
      </w:pPr>
      <w:r>
        <w:rPr>
          <w:color w:val="808080"/>
        </w:rPr>
        <w:t>— 金色傳說・穩健版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