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金色傳說 EA 產品說明</w:t>
      </w:r>
    </w:p>
    <w:p>
      <w:pPr>
        <w:jc w:val="center"/>
      </w:pPr>
      <w:r>
        <w:rPr>
          <w:color w:val="595959"/>
          <w:sz w:val="26"/>
        </w:rPr>
        <w:t>自適應波動率 × 雙風險管理 × 可調持倉上限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金色傳說是一支採用自適應波動率設計的黃金 EA，以波動率閾值、自適應週期、開倉因子、平倉因子等核心參數動態調整進場與退場節奏。提供「自動風險」與「手動風險」兩種管理模式，並可由使用者自由設定最大持倉張數（例如鎖定 5 張上限，符合 Prop 帳戶或保守策略需求），兼顧策略彈性與風險控管。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自適應波動率</w:t>
      </w:r>
    </w:p>
    <w:p>
      <w:r>
        <w:rPr>
          <w:sz w:val="22"/>
        </w:rPr>
        <w:t>依市場波動動態調整各因子靈敏度，自動適應不同行情強度。</w:t>
      </w:r>
    </w:p>
    <w:p>
      <w:pPr>
        <w:pStyle w:val="Heading2"/>
      </w:pPr>
      <w:r>
        <w:rPr>
          <w:color w:val="000000"/>
          <w:sz w:val="26"/>
        </w:rPr>
        <w:t>雙風險管理模式</w:t>
      </w:r>
    </w:p>
    <w:p>
      <w:r>
        <w:rPr>
          <w:sz w:val="22"/>
        </w:rPr>
        <w:t>自動模式依波動率自動調節下單規模；手動模式則精確設定日損、單筆損與小時損上限。</w:t>
      </w:r>
    </w:p>
    <w:p>
      <w:pPr>
        <w:pStyle w:val="Heading2"/>
      </w:pPr>
      <w:r>
        <w:rPr>
          <w:color w:val="000000"/>
          <w:sz w:val="26"/>
        </w:rPr>
        <w:t>可調持倉上限</w:t>
      </w:r>
    </w:p>
    <w:p>
      <w:r>
        <w:rPr>
          <w:sz w:val="22"/>
        </w:rPr>
        <w:t>MaxPositions 可由使用者設定（標準版預設 5 張，亦可放寬或收緊），靈活對應不同帳戶規則。</w:t>
      </w:r>
    </w:p>
    <w:p>
      <w:pPr>
        <w:pStyle w:val="Heading2"/>
      </w:pPr>
      <w:r>
        <w:rPr>
          <w:color w:val="000000"/>
          <w:sz w:val="26"/>
        </w:rPr>
        <w:t>早盤時段過濾</w:t>
      </w:r>
    </w:p>
    <w:p>
      <w:r>
        <w:rPr>
          <w:sz w:val="22"/>
        </w:rPr>
        <w:t>可選擇是否僅於早盤交易，並指定開始與結束時段。</w:t>
      </w:r>
    </w:p>
    <w:p>
      <w:pPr>
        <w:pStyle w:val="Heading2"/>
      </w:pPr>
      <w:r>
        <w:rPr>
          <w:color w:val="000000"/>
          <w:sz w:val="26"/>
        </w:rPr>
        <w:t>固定止損保護</w:t>
      </w:r>
    </w:p>
    <w:p>
      <w:r>
        <w:rPr>
          <w:sz w:val="22"/>
        </w:rPr>
        <w:t>每筆部位皆配置固定止損點數，確保單筆風險可控。</w:t>
      </w:r>
    </w:p>
    <w:p>
      <w:pPr>
        <w:pStyle w:val="Heading2"/>
      </w:pPr>
      <w:r>
        <w:rPr>
          <w:color w:val="000000"/>
          <w:sz w:val="26"/>
        </w:rPr>
        <w:t>複利選項</w:t>
      </w:r>
    </w:p>
    <w:p>
      <w:r>
        <w:rPr>
          <w:sz w:val="22"/>
        </w:rPr>
        <w:t>可選擇是否啟用複利，由風險係數動態計算下單手數。</w:t>
      </w:r>
    </w:p>
    <w:p>
      <w:pPr>
        <w:pStyle w:val="Heading2"/>
      </w:pPr>
      <w:r>
        <w:rPr>
          <w:color w:val="000000"/>
          <w:sz w:val="26"/>
        </w:rPr>
        <w:t>多層風控門檻</w:t>
      </w:r>
    </w:p>
    <w:p>
      <w:r>
        <w:rPr>
          <w:sz w:val="22"/>
        </w:rPr>
        <w:t>提供日最大虧損、單筆最大虧損、小時虧損限制、日止損比例等多層保護。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依開倉因子（KaiCangYinZi）與自適應週期（ZiShiYing）判斷進場時機，當波動率達 BoDongLu 閾值且時段符合（早盤模式）時觸發。</w:t>
      </w:r>
    </w:p>
    <w:p>
      <w:pPr>
        <w:pStyle w:val="Heading2"/>
      </w:pPr>
      <w:r>
        <w:rPr>
          <w:color w:val="000000"/>
          <w:sz w:val="26"/>
        </w:rPr>
        <w:t>動態開關</w:t>
      </w:r>
    </w:p>
    <w:p>
      <w:r>
        <w:rPr>
          <w:sz w:val="22"/>
        </w:rPr>
        <w:t>啟用 DongTaiKaiGuan 後系統會依市況自動啟停。</w:t>
      </w:r>
    </w:p>
    <w:p>
      <w:pPr>
        <w:pStyle w:val="Heading2"/>
      </w:pPr>
      <w:r>
        <w:rPr>
          <w:color w:val="000000"/>
          <w:sz w:val="26"/>
        </w:rPr>
        <w:t>時段限制</w:t>
      </w:r>
    </w:p>
    <w:p>
      <w:r>
        <w:rPr>
          <w:sz w:val="22"/>
        </w:rPr>
        <w:t>啟用 ZaoPan 後僅於 Tima–Timb 區間內交易。</w:t>
      </w:r>
    </w:p>
    <w:p>
      <w:pPr>
        <w:pStyle w:val="Heading2"/>
      </w:pPr>
      <w:r>
        <w:rPr>
          <w:color w:val="000000"/>
          <w:sz w:val="26"/>
        </w:rPr>
        <w:t>持倉上限檢查</w:t>
      </w:r>
    </w:p>
    <w:p>
      <w:r>
        <w:rPr>
          <w:sz w:val="22"/>
        </w:rPr>
        <w:t>進場前先檢查當前持倉是否已達 MaxPositions，達上限則不再新增。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達訊號條件即新增部位，依 RiskMode 決定手數來源（自動依波動率 / 手動固定），受 MaxPositions 持倉上限約束。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固定止損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StopLos 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單筆最大虧損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單筆浮虧達 MaxSingleLoss。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持倉上限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已達 MaxPositions。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停止新單，僅進行現有部位管理。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日最大虧損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當日累計虧損達 MaxDailyLoss。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小時虧損限制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小時內虧損達 HourlyLossLimit。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暫停一小時。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日止損比例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DailyStopoutRatio（如 5%）。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整批退場並暫停。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風險模式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自動風險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手動風險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手數計算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依波動率與風險係數自動調整。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依固定手數運行。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持倉數量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由系統判斷，受 MaxPositions 上限約束。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依 MaxPositions 限制。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適合情境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希望策略自行適應市場節奏。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希望嚴格控制每筆手數與曝險。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希望以自適應策略捕捉黃金波動的中長線使用者。</w:t>
      </w:r>
    </w:p>
    <w:p>
      <w:pPr>
        <w:pStyle w:val="ListParagraph"/>
        <w:ind w:left="425"/>
      </w:pPr>
      <w:r>
        <w:rPr>
          <w:sz w:val="22"/>
        </w:rPr>
        <w:t>• 受 Prop 帳戶或個人風險規則限制最大同時持倉數的投資人。</w:t>
      </w:r>
    </w:p>
    <w:p>
      <w:pPr>
        <w:pStyle w:val="ListParagraph"/>
        <w:ind w:left="425"/>
      </w:pPr>
      <w:r>
        <w:rPr>
          <w:sz w:val="22"/>
        </w:rPr>
        <w:t>• 可接受偶爾連續虧損、能耐心等待策略走完週期的投資人。</w:t>
      </w:r>
    </w:p>
    <w:p>
      <w:pPr>
        <w:pStyle w:val="ListParagraph"/>
        <w:ind w:left="425"/>
      </w:pPr>
      <w:r>
        <w:rPr>
          <w:sz w:val="22"/>
        </w:rPr>
        <w:t>• 熟悉 MT4 / MT5 並能依個人風險偏好選擇模式的使用者。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MT4 與 MT5 皆提供。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CFD（XAUUSD）。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M5–M15。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1000 USD 以上建議；持倉上限為 5 張時可降至 500 USD 起步。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實盤觀摩</w:t>
      </w:r>
    </w:p>
    <w:p>
      <w:r>
        <w:rPr>
          <w:sz w:val="22"/>
        </w:rPr>
        <w:t>本 EA 設有實盤觀摩帳號可供觀看真實交易。如需觀摩帳號（MT4/MT5 唯讀登入資訊），請聯繫業務索取。</w:t>
      </w:r>
    </w:p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自適應策略需累積一段樣本後行為才趨於穩定，初期請耐心觀察。</w:t>
      </w:r>
    </w:p>
    <w:p>
      <w:r>
        <w:rPr>
          <w:sz w:val="22"/>
        </w:rPr>
        <w:t>建議首次使用啟用手動風險模式並設定保守參數（如 MaxPositions=5），熟悉後再切換為自動模式或放寬上限。</w:t>
      </w:r>
    </w:p>
    <w:p>
      <w:pPr>
        <w:jc w:val="center"/>
      </w:pPr>
      <w:r>
        <w:rPr>
          <w:color w:val="808080"/>
        </w:rPr>
        <w:t>— 金色傳說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