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黃金寶馬 EA 產品說明</w:t>
      </w:r>
    </w:p>
    <w:p>
      <w:pPr>
        <w:jc w:val="center"/>
      </w:pPr>
      <w:r>
        <w:rPr>
          <w:color w:val="595959"/>
          <w:sz w:val="26"/>
        </w:rPr>
        <w:t>布林通道入場 × 多模式加倉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黃金寶馬是一支以「布林通道」為核心入場依據的多模式加倉 EA。系統可在 M5 與 M1 上配合自適應入場機制，當價格接近布林軌道時觸發進場；加倉支援馬丁倍率、遞增、自訂手數列表三種模式，配合單 K 線加倉限制與多重平倉保護，兼顧進攻性與風險可控。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布林通道入場</w:t>
      </w:r>
    </w:p>
    <w:p>
      <w:r>
        <w:rPr>
          <w:sz w:val="22"/>
        </w:rPr>
        <w:t>以 BB_Period / BB_Deviation 計算的布林軌道為基準，配合自適應收窄條件捕捉低買高賣節奏。</w:t>
      </w:r>
    </w:p>
    <w:p>
      <w:pPr>
        <w:pStyle w:val="Heading2"/>
      </w:pPr>
      <w:r>
        <w:rPr>
          <w:color w:val="000000"/>
          <w:sz w:val="26"/>
        </w:rPr>
        <w:t>M1 + M5 雙週期自適應</w:t>
      </w:r>
    </w:p>
    <w:p>
      <w:r>
        <w:rPr>
          <w:sz w:val="22"/>
        </w:rPr>
        <w:t>可選啟用自適應入場，當 M1 與 M5 布林同時收窄並接近軌道時即觸發。</w:t>
      </w:r>
    </w:p>
    <w:p>
      <w:pPr>
        <w:pStyle w:val="Heading2"/>
      </w:pPr>
      <w:r>
        <w:rPr>
          <w:color w:val="000000"/>
          <w:sz w:val="26"/>
        </w:rPr>
        <w:t>三模式加倉</w:t>
      </w:r>
    </w:p>
    <w:p>
      <w:r>
        <w:rPr>
          <w:sz w:val="22"/>
        </w:rPr>
        <w:t>馬丁倍率、遞增、自訂手數列表三種加倉模式可切換，配合不同節奏。</w:t>
      </w:r>
    </w:p>
    <w:p>
      <w:pPr>
        <w:pStyle w:val="Heading2"/>
      </w:pPr>
      <w:r>
        <w:rPr>
          <w:color w:val="000000"/>
          <w:sz w:val="26"/>
        </w:rPr>
        <w:t>交易模式預設</w:t>
      </w:r>
    </w:p>
    <w:p>
      <w:r>
        <w:rPr>
          <w:sz w:val="22"/>
        </w:rPr>
        <w:t>提供保守、穩健、激進、自定義四種預設模式，新手可快速上手。</w:t>
      </w:r>
    </w:p>
    <w:p>
      <w:pPr>
        <w:pStyle w:val="Heading2"/>
      </w:pPr>
      <w:r>
        <w:rPr>
          <w:color w:val="000000"/>
          <w:sz w:val="26"/>
        </w:rPr>
        <w:t>單 K 線加倉限制</w:t>
      </w:r>
    </w:p>
    <w:p>
      <w:r>
        <w:rPr>
          <w:sz w:val="22"/>
        </w:rPr>
        <w:t>可限制同一根 K 線內最多加倉次數，避免短時間內過度集中。</w:t>
      </w:r>
    </w:p>
    <w:p>
      <w:pPr>
        <w:pStyle w:val="Heading2"/>
      </w:pPr>
      <w:r>
        <w:rPr>
          <w:color w:val="000000"/>
          <w:sz w:val="26"/>
        </w:rPr>
        <w:t>浮虧全平保護</w:t>
      </w:r>
    </w:p>
    <w:p>
      <w:r>
        <w:rPr>
          <w:sz w:val="22"/>
        </w:rPr>
        <w:t>可啟用浮虧全平保護，達門檻即整批退場。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以 BB_OpenTimeframe 上的布林通道作為主要進場依據；當價格觸及上下軌或自適應條件成立（M1 + M5 布林收窄並接近軌道）時觸發進場。</w:t>
      </w:r>
    </w:p>
    <w:p>
      <w:pPr>
        <w:pStyle w:val="Heading2"/>
      </w:pPr>
      <w:r>
        <w:rPr>
          <w:color w:val="000000"/>
          <w:sz w:val="26"/>
        </w:rPr>
        <w:t>自適應入場開關</w:t>
      </w:r>
    </w:p>
    <w:p>
      <w:r>
        <w:rPr>
          <w:sz w:val="22"/>
        </w:rPr>
        <w:t>EnableAdaptiveEntry 控制是否啟用 M1 + M5 雙週期自適應。</w:t>
      </w:r>
    </w:p>
    <w:p>
      <w:pPr>
        <w:pStyle w:val="Heading2"/>
      </w:pPr>
      <w:r>
        <w:rPr>
          <w:color w:val="000000"/>
          <w:sz w:val="26"/>
        </w:rPr>
        <w:t>接近軌道比例</w:t>
      </w:r>
    </w:p>
    <w:p>
      <w:r>
        <w:rPr>
          <w:sz w:val="22"/>
        </w:rPr>
        <w:t>AdaptiveNearBandRatio（如 0.25）控制距離軌道多近視為觸發。</w:t>
      </w:r>
    </w:p>
    <w:p>
      <w:pPr>
        <w:pStyle w:val="Heading2"/>
      </w:pPr>
      <w:r>
        <w:rPr>
          <w:color w:val="000000"/>
          <w:sz w:val="26"/>
        </w:rPr>
        <w:t>確認 K 線數</w:t>
      </w:r>
    </w:p>
    <w:p>
      <w:r>
        <w:rPr>
          <w:sz w:val="22"/>
        </w:rPr>
        <w:t>OpenConfirmBars 控制進場前需確認的 K 線數。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達 AddPositionDistance 點數即加倉；手數依 LotMode 決定（馬丁 × MartingaleMultiplier / 遞增 × IncrementLots / 自訂列表）；受 MaxAddLots 上限約束。可選啟用單 K 線加倉次數限制。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浮虧全平保護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啟用後達 FloatingLossAmount。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整批退場保命。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每手獲利金額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 ProfitPerLot（每 0.01 手獲利金額）達標。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平倉信號過濾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CloseSignalFilter 條件成立。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依配置平倉。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 K 線加倉限制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BarAnalysisDepth 內限制次數。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暫停加倉至下一根 K 線。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加倉手數上限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MaxAddLots。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停止加倉。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C9A227"/>
          </w:tcPr>
          <w:p>
            <w:r/>
            <w:r>
              <w:rPr>
                <w:b/>
                <w:sz w:val="21"/>
              </w:rPr>
              <w:t>交易模式</w:t>
            </w:r>
          </w:p>
        </w:tc>
        <w:tc>
          <w:tcPr>
            <w:tcW w:type="dxa" w:w="1728"/>
            <w:shd w:val="clear" w:color="auto" w:fill="C9A227"/>
          </w:tcPr>
          <w:p>
            <w:r/>
            <w:r>
              <w:rPr>
                <w:b/>
                <w:sz w:val="21"/>
              </w:rPr>
              <w:t>保守</w:t>
            </w:r>
          </w:p>
        </w:tc>
        <w:tc>
          <w:tcPr>
            <w:tcW w:type="dxa" w:w="1728"/>
            <w:shd w:val="clear" w:color="auto" w:fill="C9A227"/>
          </w:tcPr>
          <w:p>
            <w:r/>
            <w:r>
              <w:rPr>
                <w:b/>
                <w:sz w:val="21"/>
              </w:rPr>
              <w:t>穩健</w:t>
            </w:r>
          </w:p>
        </w:tc>
        <w:tc>
          <w:tcPr>
            <w:tcW w:type="dxa" w:w="1728"/>
            <w:shd w:val="clear" w:color="auto" w:fill="C9A227"/>
          </w:tcPr>
          <w:p>
            <w:r/>
            <w:r>
              <w:rPr>
                <w:b/>
                <w:sz w:val="21"/>
              </w:rPr>
              <w:t>激進</w:t>
            </w:r>
          </w:p>
        </w:tc>
        <w:tc>
          <w:tcPr>
            <w:tcW w:type="dxa" w:w="1728"/>
            <w:shd w:val="clear" w:color="auto" w:fill="C9A227"/>
          </w:tcPr>
          <w:p>
            <w:r/>
            <w:r>
              <w:rPr>
                <w:b/>
                <w:sz w:val="21"/>
              </w:rPr>
              <w:t>自定義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特性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最少加倉、最大保護。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預設模式，平衡進攻與防守。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更頻繁進場與加倉。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依使用者完全自訂。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1"/>
              </w:rPr>
              <w:t>適合對象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新手 / 小資金。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一般使用者（推薦）。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進階使用者 / 高風險偏好。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已熟悉策略並有自己參數的使用者。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希望以布林通道策略運行、追求多模式加倉彈性的使用者。</w:t>
      </w:r>
    </w:p>
    <w:p>
      <w:pPr>
        <w:pStyle w:val="ListParagraph"/>
        <w:ind w:left="425"/>
      </w:pPr>
      <w:r>
        <w:rPr>
          <w:sz w:val="22"/>
        </w:rPr>
        <w:t>• 可接受加倉導致浮虧增加、預留充足保證金的投資人。</w:t>
      </w:r>
    </w:p>
    <w:p>
      <w:pPr>
        <w:pStyle w:val="ListParagraph"/>
        <w:ind w:left="425"/>
      </w:pPr>
      <w:r>
        <w:rPr>
          <w:sz w:val="22"/>
        </w:rPr>
        <w:t>• 熟悉 MT5 並能依交易模式選擇對應預設的使用者。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 為主，可依設定切換。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依交易模式不同，保守模式 500 USD 起；激進模式建議 2000 USD 以上。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馬丁倍率加倉模式於極端行情下風險顯著，建議搭配浮虧全平保護。</w:t>
      </w:r>
    </w:p>
    <w:p>
      <w:r>
        <w:rPr>
          <w:sz w:val="22"/>
        </w:rPr>
        <w:t>新手請從保守或穩健模式開始，熟悉後再評估是否切換為激進模式。</w:t>
      </w:r>
    </w:p>
    <w:p>
      <w:pPr>
        <w:jc w:val="center"/>
      </w:pPr>
      <w:r>
        <w:rPr>
          <w:color w:val="808080"/>
        </w:rPr>
        <w:t>— 黃金寶馬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