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黃金羅盤 EA 產品說明</w:t>
      </w:r>
    </w:p>
    <w:p>
      <w:pPr>
        <w:jc w:val="center"/>
      </w:pPr>
      <w:r>
        <w:rPr>
          <w:color w:val="595959"/>
          <w:sz w:val="26"/>
        </w:rPr>
        <w:t>為交易找方向 · 黃金網格加倉 × 首尾對沖保命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黃金羅盤是一支以小時級別為核心節奏的網格加倉 EA，採用「雙向獨立網格 × 自動加倉 × 均價追蹤止損 × 首尾對沖保命」的四層架構。系統會於行情啟動時建立首單，行情拉開時依倍率自動加倉，並透過獲利金額出場與均價追蹤兩道結算機制鎖定利潤。當加倉層數累積到設定門檻時，自動啟用首尾對沖削單，把潛在風險上限預先封死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雙向獨立網格架構</w:t>
      </w:r>
    </w:p>
    <w:p>
      <w:r>
        <w:rPr>
          <w:sz w:val="22"/>
        </w:rPr>
        <w:t>多單、空單各自獨立挂單、獨立止盈、獨立風控，不會因單邊行情而互相干擾，能同時承接趨勢與震盪兩種型態。</w:t>
      </w:r>
    </w:p>
    <w:p>
      <w:pPr>
        <w:pStyle w:val="Heading2"/>
      </w:pPr>
      <w:r>
        <w:rPr>
          <w:color w:val="000000"/>
          <w:sz w:val="26"/>
        </w:rPr>
        <w:t>彈性加倉與遞增控制</w:t>
      </w:r>
    </w:p>
    <w:p>
      <w:r>
        <w:rPr>
          <w:sz w:val="22"/>
        </w:rPr>
        <w:t>提供「加倉倍率」與「加倉遞增」雙模式：倍率擴張加速加倉，固定遞增提供穩定節奏；可依風險偏好自由搭配。</w:t>
      </w:r>
    </w:p>
    <w:p>
      <w:pPr>
        <w:pStyle w:val="Heading2"/>
      </w:pPr>
      <w:r>
        <w:rPr>
          <w:color w:val="000000"/>
          <w:sz w:val="26"/>
        </w:rPr>
        <w:t>獲利金額直接出場</w:t>
      </w:r>
    </w:p>
    <w:p>
      <w:r>
        <w:rPr>
          <w:sz w:val="22"/>
        </w:rPr>
        <w:t>支援多單、空單、總單三組獨立的獲利金額出場門檻，達標即整批平倉，避免讓帳面獲利再回吐。</w:t>
      </w:r>
    </w:p>
    <w:p>
      <w:pPr>
        <w:pStyle w:val="Heading2"/>
      </w:pPr>
      <w:r>
        <w:rPr>
          <w:color w:val="000000"/>
          <w:sz w:val="26"/>
        </w:rPr>
        <w:t>均價追蹤止損</w:t>
      </w:r>
    </w:p>
    <w:p>
      <w:r>
        <w:rPr>
          <w:sz w:val="22"/>
        </w:rPr>
        <w:t>當持倉達到啟動張數後，自動以該方向的均價為基準啟動移動止盈，並依步長動態追蹤，鎖住已累積的浮盈。</w:t>
      </w:r>
    </w:p>
    <w:p>
      <w:pPr>
        <w:pStyle w:val="Heading2"/>
      </w:pPr>
      <w:r>
        <w:rPr>
          <w:color w:val="000000"/>
          <w:sz w:val="26"/>
        </w:rPr>
        <w:t>首尾對沖保命機制</w:t>
      </w:r>
    </w:p>
    <w:p>
      <w:r>
        <w:rPr>
          <w:sz w:val="22"/>
        </w:rPr>
        <w:t>加倉層數超過設定門檻時，系統會主動對沖首單與尾單，在帳面達到目標金額時整批退場，把馬丁式風險主動轉換為可控小額退場。</w:t>
      </w:r>
    </w:p>
    <w:p>
      <w:pPr>
        <w:pStyle w:val="Heading2"/>
      </w:pPr>
      <w:r>
        <w:rPr>
          <w:color w:val="000000"/>
          <w:sz w:val="26"/>
        </w:rPr>
        <w:t>彈性手數模式</w:t>
      </w:r>
    </w:p>
    <w:p>
      <w:r>
        <w:rPr>
          <w:sz w:val="22"/>
        </w:rPr>
        <w:t>可採固定基礎手數，或啟用「自動資金手數」依帳戶淨值動態縮放，並有單筆最大手數與單向最大層數硬上限。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首單以雙向預掛思路建立，待行情明確發動後自動觸發進場；後續則依「加倉間距 + 間距倍率」逐層往不利方向佈設加倉，形成自我延伸的網格。多單與空單在進場層完全對稱，無人為方向預判。</w:t>
      </w:r>
    </w:p>
    <w:p>
      <w:pPr>
        <w:pStyle w:val="Heading2"/>
      </w:pPr>
      <w:r>
        <w:rPr>
          <w:color w:val="000000"/>
          <w:sz w:val="26"/>
        </w:rPr>
        <w:t>點差與滑點過濾</w:t>
      </w:r>
    </w:p>
    <w:p>
      <w:r>
        <w:rPr>
          <w:sz w:val="22"/>
        </w:rPr>
        <w:t>進場前先檢查當前點差與滑點是否符合設定上限，避免極端報價下被動成交。</w:t>
      </w:r>
    </w:p>
    <w:p>
      <w:pPr>
        <w:pStyle w:val="Heading2"/>
      </w:pPr>
      <w:r>
        <w:rPr>
          <w:color w:val="000000"/>
          <w:sz w:val="26"/>
        </w:rPr>
        <w:t>最小間距校驗</w:t>
      </w:r>
    </w:p>
    <w:p>
      <w:r>
        <w:rPr>
          <w:sz w:val="22"/>
        </w:rPr>
        <w:t>所有挂單距離會自動比對經紀商最小有效距離；過小者自動修正並寫入日誌，確保挂單能順利建立。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行情拉開時，系統依「加倉間距 × 間距倍率」逐層加倉，下一筆手數依「加倉倍率 + 加倉遞增」混合計算，並受「單筆最大手數」與「單向最大層數」雙重上限約束。當層數累積至首尾對沖啟動門檻，會自動切入保命模式。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統一止盈點數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每筆單獨設定的固定止盈點位，由伺服器執行。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該筆部位達標即平倉。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獲利金額出場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多單、空單或總體浮盈達到設定的美元門檻。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整批同向（或全部）平倉，鎖住獲利。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均價追蹤止盈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持倉張數達啟動門檻後，依均價啟動移動止盈，從高點回撤達回徹點觸發。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整批同向平倉，把鎖住的浮盈兌現。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首尾對沖削單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加倉層數超過啟動門檻，啟動首尾對沖保命；帳面達到首尾對沖目標金額。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對沖首尾單並整批退場，把潛在馬丁風險封死。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手動全平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使用者於控制面板按下「全平」。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立即結束所有持倉。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希望以網格加倉方式持續參與黃金行情，但又要求有明確保命退場機制的使用者。</w:t>
      </w:r>
    </w:p>
    <w:p>
      <w:pPr>
        <w:pStyle w:val="ListParagraph"/>
        <w:ind w:left="425"/>
      </w:pPr>
      <w:r>
        <w:rPr>
          <w:sz w:val="22"/>
        </w:rPr>
        <w:t>• 可接受帳面浮虧、能承受波段震盪的中長線投資人。</w:t>
      </w:r>
    </w:p>
    <w:p>
      <w:pPr>
        <w:pStyle w:val="ListParagraph"/>
        <w:ind w:left="425"/>
      </w:pPr>
      <w:r>
        <w:rPr>
          <w:sz w:val="22"/>
        </w:rPr>
        <w:t>• 熟悉 MT4 操作環境，具備 VPS 部署能力的使用者。</w:t>
      </w:r>
    </w:p>
    <w:p>
      <w:pPr>
        <w:pStyle w:val="ListParagraph"/>
        <w:ind w:left="425"/>
      </w:pPr>
      <w:r>
        <w:rPr>
          <w:sz w:val="22"/>
        </w:rPr>
        <w:t>• 理解馬丁/網格類策略風險特性、預留充足保證金的使用者。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MetaTrader 4（MT4）。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以黃金 CFD 為主，亦可套用至主要外匯品種。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24 小時不中斷的網路連線；建議使用 VPS。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圖表時間週期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建議掛載 H1（程式內部以小時節奏判斷），其他週期亦可運行。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依「加倉倍率 × 單向最大層數」估算潛在曝險，建議帳戶餘額不低於估算保證金 3 倍以上。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實盤觀摩</w:t>
      </w:r>
    </w:p>
    <w:p>
      <w:r>
        <w:rPr>
          <w:sz w:val="22"/>
        </w:rPr>
        <w:t>本 EA 設有實盤觀摩帳號可供觀看真實交易。如需觀摩帳號（MT4/MT5 唯讀登入資訊），請聯繫業務索取。</w:t>
      </w:r>
    </w:p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本 EA 屬於網格／馬丁類型策略，極端單邊行情仍可能造成顯著回撤；首尾對沖機制可降低但不能完全消除此風險。</w:t>
      </w:r>
    </w:p>
    <w:p>
      <w:r>
        <w:rPr>
          <w:sz w:val="22"/>
        </w:rPr>
        <w:t>首次使用建議以最小手數、保守加倉倍率啟動，並於模擬或小額實單觀察 1–2 週後再放大規模。</w:t>
      </w:r>
    </w:p>
    <w:p>
      <w:pPr>
        <w:jc w:val="center"/>
      </w:pPr>
      <w:r>
        <w:rPr>
          <w:color w:val="808080"/>
        </w:rPr>
        <w:t>— 黃金羅盤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