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黃金追風 EA 產品說明</w:t>
      </w:r>
    </w:p>
    <w:p>
      <w:pPr>
        <w:jc w:val="center"/>
      </w:pPr>
      <w:r>
        <w:rPr>
          <w:color w:val="595959"/>
          <w:sz w:val="26"/>
        </w:rPr>
        <w:t>黃金 M15 趨勢追蹤 × 一次一單</w:t>
      </w:r>
    </w:p>
    <w:p>
      <w:pPr>
        <w:pStyle w:val="Heading1"/>
      </w:pPr>
      <w:r>
        <w:rPr>
          <w:color w:val="000000"/>
          <w:sz w:val="30"/>
        </w:rPr>
        <w:t>產品簡介</w:t>
      </w:r>
    </w:p>
    <w:p>
      <w:r>
        <w:rPr>
          <w:sz w:val="22"/>
        </w:rPr>
        <w:t>黃金追風 MT4 是一支專為黃金 M15 級別設計的趨勢追蹤 EA，採用一次一單設計，行為單純、回撤可控。系統以「黃金追風」指標識別主導方向，達訊號條件即進場、配合動態止損與止盈管理單筆部位，達退場條件即平倉。</w:t>
      </w:r>
    </w:p>
    <w:p>
      <w:pPr>
        <w:pStyle w:val="Heading1"/>
      </w:pPr>
      <w:r>
        <w:rPr>
          <w:color w:val="000000"/>
          <w:sz w:val="30"/>
        </w:rPr>
        <w:t>主要特色</w:t>
      </w:r>
    </w:p>
    <w:p>
      <w:pPr>
        <w:pStyle w:val="Heading2"/>
      </w:pPr>
      <w:r>
        <w:rPr>
          <w:color w:val="000000"/>
          <w:sz w:val="26"/>
        </w:rPr>
        <w:t>黃金追風指標核心</w:t>
      </w:r>
    </w:p>
    <w:p>
      <w:r>
        <w:rPr>
          <w:sz w:val="22"/>
        </w:rPr>
        <w:t>以經典 SuperTrend 指標識別主導方向，方向翻轉即視為退場訊號。</w:t>
      </w:r>
    </w:p>
    <w:p>
      <w:pPr>
        <w:pStyle w:val="Heading2"/>
      </w:pPr>
      <w:r>
        <w:rPr>
          <w:color w:val="000000"/>
          <w:sz w:val="26"/>
        </w:rPr>
        <w:t>一次一單</w:t>
      </w:r>
    </w:p>
    <w:p>
      <w:r>
        <w:rPr>
          <w:sz w:val="22"/>
        </w:rPr>
        <w:t>同時間僅持有一筆部位，不加倉、不馬丁。</w:t>
      </w:r>
    </w:p>
    <w:p>
      <w:pPr>
        <w:pStyle w:val="Heading2"/>
      </w:pPr>
      <w:r>
        <w:rPr>
          <w:color w:val="000000"/>
          <w:sz w:val="26"/>
        </w:rPr>
        <w:t>M15 級別專注</w:t>
      </w:r>
    </w:p>
    <w:p>
      <w:r>
        <w:rPr>
          <w:sz w:val="22"/>
        </w:rPr>
        <w:t>策略針對 M15 級別優化，節奏穩定、訊號清晰。</w:t>
      </w:r>
    </w:p>
    <w:p>
      <w:pPr>
        <w:pStyle w:val="Heading2"/>
      </w:pPr>
      <w:r>
        <w:rPr>
          <w:color w:val="000000"/>
          <w:sz w:val="26"/>
        </w:rPr>
        <w:t>動態止損</w:t>
      </w:r>
    </w:p>
    <w:p>
      <w:r>
        <w:rPr>
          <w:sz w:val="22"/>
        </w:rPr>
        <w:t>依市場波動動態計算止損點位，兼顧抗噪與保護。</w:t>
      </w:r>
    </w:p>
    <w:p>
      <w:pPr>
        <w:pStyle w:val="Heading2"/>
      </w:pPr>
      <w:r>
        <w:rPr>
          <w:color w:val="000000"/>
          <w:sz w:val="26"/>
        </w:rPr>
        <w:t>低門檻部署</w:t>
      </w:r>
    </w:p>
    <w:p>
      <w:r>
        <w:rPr>
          <w:sz w:val="22"/>
        </w:rPr>
        <w:t>參數簡單，新手也能快速上手。</w:t>
      </w:r>
    </w:p>
    <w:p>
      <w:pPr>
        <w:pStyle w:val="Heading1"/>
      </w:pPr>
      <w:r>
        <w:rPr>
          <w:color w:val="000000"/>
          <w:sz w:val="30"/>
        </w:rPr>
        <w:t>進場邏輯</w:t>
      </w:r>
    </w:p>
    <w:p>
      <w:r>
        <w:rPr>
          <w:sz w:val="22"/>
        </w:rPr>
        <w:t>當 SuperTrend 指標翻轉並確認新趨勢方向後進場；多單僅於上升趨勢、空單僅於下降趨勢。</w:t>
      </w:r>
    </w:p>
    <w:p>
      <w:pPr>
        <w:pStyle w:val="Heading1"/>
      </w:pPr>
      <w:r>
        <w:rPr>
          <w:color w:val="000000"/>
          <w:sz w:val="30"/>
        </w:rPr>
        <w:t>加倉與管理邏輯</w:t>
      </w:r>
    </w:p>
    <w:p>
      <w:r>
        <w:rPr>
          <w:sz w:val="22"/>
        </w:rPr>
        <w:t>本策略採一次一單設計，前一筆未平倉前不會新增部位。</w:t>
      </w:r>
    </w:p>
    <w:p>
      <w:pPr>
        <w:pStyle w:val="Heading1"/>
      </w:pPr>
      <w:r>
        <w:rPr>
          <w:color w:val="000000"/>
          <w:sz w:val="30"/>
        </w:rPr>
        <w:t>平倉與風控優先順序</w:t>
      </w:r>
    </w:p>
    <w:p>
      <w:r>
        <w:rPr>
          <w:sz w:val="22"/>
        </w:rPr>
        <w:t>系統內建多層止損與獲利保護機制，每個運行週期都會由上而下逐層檢查；任一層條件滿足即觸發對應動作，避免機制互相干擾。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順序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機制名稱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觸發條件（白話）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觸發動作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趨勢翻轉退場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SuperTrend 指標反向翻轉。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該筆部位立即平倉。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動態止損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達動態計算的止損點位。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該筆部位平倉。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止盈點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達設定止盈點位。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該筆部位平倉鎖利。</w:t>
            </w:r>
          </w:p>
        </w:tc>
      </w:tr>
    </w:tbl>
    <w:p>
      <w:pPr>
        <w:pStyle w:val="Heading1"/>
      </w:pPr>
      <w:r>
        <w:rPr>
          <w:color w:val="000000"/>
          <w:sz w:val="30"/>
        </w:rPr>
        <w:t>適用對象</w:t>
      </w:r>
    </w:p>
    <w:p>
      <w:pPr>
        <w:pStyle w:val="ListParagraph"/>
        <w:ind w:left="425"/>
      </w:pPr>
      <w:r>
        <w:rPr>
          <w:sz w:val="22"/>
        </w:rPr>
        <w:t>• 希望以最單純的趨勢策略運行、不使用加倉的使用者。</w:t>
      </w:r>
    </w:p>
    <w:p>
      <w:pPr>
        <w:pStyle w:val="ListParagraph"/>
        <w:ind w:left="425"/>
      </w:pPr>
      <w:r>
        <w:rPr>
          <w:sz w:val="22"/>
        </w:rPr>
        <w:t>• 專注於黃金 M15 級別的中長線投資人。</w:t>
      </w:r>
    </w:p>
    <w:p>
      <w:pPr>
        <w:pStyle w:val="ListParagraph"/>
        <w:ind w:left="425"/>
      </w:pPr>
      <w:r>
        <w:rPr>
          <w:sz w:val="22"/>
        </w:rPr>
        <w:t>• MT4 使用者，能配合 VPS 長期運行。</w:t>
      </w:r>
    </w:p>
    <w:p>
      <w:pPr>
        <w:pStyle w:val="Heading1"/>
      </w:pPr>
      <w:r>
        <w:rPr>
          <w:color w:val="000000"/>
          <w:sz w:val="30"/>
        </w:rPr>
        <w:t>系統需求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C9A227"/>
          </w:tcPr>
          <w:p>
            <w:r/>
            <w:r>
              <w:rPr>
                <w:b/>
                <w:sz w:val="21"/>
              </w:rPr>
              <w:t>項目</w:t>
            </w:r>
          </w:p>
        </w:tc>
        <w:tc>
          <w:tcPr>
            <w:tcW w:type="dxa" w:w="4320"/>
            <w:shd w:val="clear" w:color="auto" w:fill="C9A227"/>
          </w:tcPr>
          <w:p>
            <w:r/>
            <w:r>
              <w:rPr>
                <w:b/>
                <w:sz w:val="21"/>
              </w:rPr>
              <w:t>說明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交易平台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MetaTrader 4。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可交易商品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黃金 CFD。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建議運行環境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VPS 24 小時運行。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建議掛載週期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M15。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建議資金規模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500 美元以上即可運行。</w:t>
            </w:r>
          </w:p>
        </w:tc>
      </w:tr>
    </w:tbl>
    <w:p>
      <w:pPr>
        <w:pStyle w:val="Heading1"/>
      </w:pPr>
      <w:r>
        <w:rPr>
          <w:color w:val="000000"/>
          <w:sz w:val="30"/>
        </w:rPr>
        <w:t>使用須知</w:t>
      </w:r>
    </w:p>
    <w:p>
      <w:r>
        <w:rPr>
          <w:sz w:val="22"/>
        </w:rPr>
        <w:t>本 EA 以編譯後的 .ex4 提供，原始碼不公開。</w:t>
      </w:r>
    </w:p>
    <w:p>
      <w:r>
        <w:rPr>
          <w:sz w:val="22"/>
        </w:rPr>
        <w:t>趨勢策略於震盪行情中可能連續小虧，請耐心觀察完整週期。</w:t>
      </w:r>
    </w:p>
    <w:p>
      <w:pPr>
        <w:jc w:val="center"/>
      </w:pPr>
      <w:r>
        <w:rPr>
          <w:color w:val="808080"/>
        </w:rPr>
        <w:t>— 黃金追風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軟正黑體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