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黃金鷹眼 EA 產品說明</w:t>
      </w:r>
    </w:p>
    <w:p>
      <w:pPr>
        <w:jc w:val="center"/>
      </w:pPr>
      <w:r>
        <w:rPr>
          <w:color w:val="595959"/>
          <w:sz w:val="26"/>
        </w:rPr>
        <w:t>銳利狙擊 · 趨勢 + 震盪雙引擎一次一單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黃金鷹眼是一支專為黃金市場 M15 級別設計的趨勢追蹤 EA，採用一次一單的穩健設計，行為單純、回撤可控。系統內含「趨勢濾網」與「震盪入場」雙引擎：先由長週期通道判斷趨勢方向，再由短週期震盪指標尋找最佳進場點。配合動態止損、固定止盈與週五尾盤平倉機制，提供 MT4 與 MT5 雙平台版本，適合追求穩健節奏的使用者。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趨勢 + 震盪雙引擎</w:t>
      </w:r>
    </w:p>
    <w:p>
      <w:r>
        <w:rPr>
          <w:sz w:val="22"/>
        </w:rPr>
        <w:t>長週期通道過濾趨勢方向，短週期震盪指標捕捉低買高賣節奏，兩者一致時才出手。</w:t>
      </w:r>
    </w:p>
    <w:p>
      <w:pPr>
        <w:pStyle w:val="Heading2"/>
      </w:pPr>
      <w:r>
        <w:rPr>
          <w:color w:val="000000"/>
          <w:sz w:val="26"/>
        </w:rPr>
        <w:t>一次一單、節奏單純</w:t>
      </w:r>
    </w:p>
    <w:p>
      <w:r>
        <w:rPr>
          <w:sz w:val="22"/>
        </w:rPr>
        <w:t>同時間僅持有一筆部位，不加倉、不馬丁，行為單純可預期。</w:t>
      </w:r>
    </w:p>
    <w:p>
      <w:pPr>
        <w:pStyle w:val="Heading2"/>
      </w:pPr>
      <w:r>
        <w:rPr>
          <w:color w:val="000000"/>
          <w:sz w:val="26"/>
        </w:rPr>
        <w:t>動態止損保護</w:t>
      </w:r>
    </w:p>
    <w:p>
      <w:r>
        <w:rPr>
          <w:sz w:val="22"/>
        </w:rPr>
        <w:t>依市場波動動態調整止損點位，介於「最小止損」與「最大止損」之間，兼顧抗噪與保護。</w:t>
      </w:r>
    </w:p>
    <w:p>
      <w:pPr>
        <w:pStyle w:val="Heading2"/>
      </w:pPr>
      <w:r>
        <w:rPr>
          <w:color w:val="000000"/>
          <w:sz w:val="26"/>
        </w:rPr>
        <w:t>週五尾盤強制平倉</w:t>
      </w:r>
    </w:p>
    <w:p>
      <w:r>
        <w:rPr>
          <w:sz w:val="22"/>
        </w:rPr>
        <w:t>可設定週五特定時間後若獲利達標即自動平倉，避免持單過週末。</w:t>
      </w:r>
    </w:p>
    <w:p>
      <w:pPr>
        <w:pStyle w:val="Heading2"/>
      </w:pPr>
      <w:r>
        <w:rPr>
          <w:color w:val="000000"/>
          <w:sz w:val="26"/>
        </w:rPr>
        <w:t>可選資金管理模式</w:t>
      </w:r>
    </w:p>
    <w:p>
      <w:r>
        <w:rPr>
          <w:sz w:val="22"/>
        </w:rPr>
        <w:t>可使用固定手數、起始手數或依基礎淨值計算的動態手數，配合不同帳戶規模。</w:t>
      </w:r>
    </w:p>
    <w:p>
      <w:pPr>
        <w:pStyle w:val="Heading2"/>
      </w:pPr>
      <w:r>
        <w:rPr>
          <w:color w:val="000000"/>
          <w:sz w:val="26"/>
        </w:rPr>
        <w:t>MT4 / MT5 雙平台</w:t>
      </w:r>
    </w:p>
    <w:p>
      <w:r>
        <w:rPr>
          <w:sz w:val="22"/>
        </w:rPr>
        <w:t>同邏輯雙版本，依使用者帳戶平台選用對應檔案。</w:t>
      </w:r>
    </w:p>
    <w:p>
      <w:pPr>
        <w:pStyle w:val="Heading2"/>
      </w:pPr>
      <w:r>
        <w:rPr>
          <w:color w:val="000000"/>
          <w:sz w:val="26"/>
        </w:rPr>
        <w:t>詳細日誌輸出</w:t>
      </w:r>
    </w:p>
    <w:p>
      <w:r>
        <w:rPr>
          <w:sz w:val="22"/>
        </w:rPr>
        <w:t>每筆進出場均輸出詳細日誌，便於回顧策略行為與優化參數。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系統先以「趨勢通道週期 + 趨勢落差」判斷當下行情是否處於明確趨勢，再以「震盪指標 + 進場門檻」尋找回檔/反彈的進場時機。只有兩條件同時成立才會觸發進場。</w:t>
      </w:r>
    </w:p>
    <w:p>
      <w:pPr>
        <w:pStyle w:val="Heading2"/>
      </w:pPr>
      <w:r>
        <w:rPr>
          <w:color w:val="000000"/>
          <w:sz w:val="26"/>
        </w:rPr>
        <w:t>方向過濾</w:t>
      </w:r>
    </w:p>
    <w:p>
      <w:r>
        <w:rPr>
          <w:sz w:val="22"/>
        </w:rPr>
        <w:t>趨勢通道判定為多頭時僅做多、空頭時僅做空，避免逆勢進場。</w:t>
      </w:r>
    </w:p>
    <w:p>
      <w:pPr>
        <w:pStyle w:val="Heading2"/>
      </w:pPr>
      <w:r>
        <w:rPr>
          <w:color w:val="000000"/>
          <w:sz w:val="26"/>
        </w:rPr>
        <w:t>極端值入場</w:t>
      </w:r>
    </w:p>
    <w:p>
      <w:r>
        <w:rPr>
          <w:sz w:val="22"/>
        </w:rPr>
        <w:t>震盪指標進入超買/超賣區（OSCLevel）時才視為有效進場條件。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本 EA 採一次一單設計，不進行加倉或馬丁。下一筆進場必須等前一筆結束後依新訊號重新觸發。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動態止損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依市場波動動態計算的止損點位，介於 MinSL 與 MaxSL 之間。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該筆部位達止損即平倉。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獲利點數止盈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達到 ProfitPoint 設定的固定止盈點數。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該筆部位平倉鎖利。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震盪反轉強制平倉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震盪指標達 DirectCloseLevel 反向極端值。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該筆部位強制平倉，避免逆轉回吐。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週五尾盤平倉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週五達設定時間且帳面獲利達目標。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強制平倉，避免持單過週末。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希望策略行為單純、不使用加倉或馬丁的穩健型使用者。</w:t>
      </w:r>
    </w:p>
    <w:p>
      <w:pPr>
        <w:pStyle w:val="ListParagraph"/>
        <w:ind w:left="425"/>
      </w:pPr>
      <w:r>
        <w:rPr>
          <w:sz w:val="22"/>
        </w:rPr>
        <w:t>• 專注於黃金 M15 級別交易、可接受長時間等待訊號的投資人。</w:t>
      </w:r>
    </w:p>
    <w:p>
      <w:pPr>
        <w:pStyle w:val="ListParagraph"/>
        <w:ind w:left="425"/>
      </w:pPr>
      <w:r>
        <w:rPr>
          <w:sz w:val="22"/>
        </w:rPr>
        <w:t>• 熟悉 MT4 / MT5 操作環境並能配置 VPS 的使用者。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MT4 與 MT5 皆提供。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CFD（XAUUSD）。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MT5 帳戶類型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對沖（Hedging）或淨倉（Netting）皆可。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24 小時不中斷網路；建議使用 VPS。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建議掛載週期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M15。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一次一單設計，建議起始資金 500 USD 以上即可運行。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實盤觀摩</w:t>
      </w:r>
    </w:p>
    <w:p>
      <w:r>
        <w:rPr>
          <w:sz w:val="22"/>
        </w:rPr>
        <w:t>本 EA 設有實盤觀摩帳號可供觀看真實交易。如需觀摩帳號（MT4/MT5 唯讀登入資訊），請聯繫業務索取。</w:t>
      </w:r>
    </w:p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雖然採用一次一單設計，仍可能因突發行情導致單筆損失放大，動態止損為主要保護機制。</w:t>
      </w:r>
    </w:p>
    <w:p>
      <w:r>
        <w:rPr>
          <w:sz w:val="22"/>
        </w:rPr>
        <w:t>建議首次使用以最小手數啟動，並開啟詳細日誌觀察 1–2 週行為再調整。</w:t>
      </w:r>
    </w:p>
    <w:p>
      <w:pPr>
        <w:jc w:val="center"/>
      </w:pPr>
      <w:r>
        <w:rPr>
          <w:color w:val="808080"/>
        </w:rPr>
        <w:t>— 黃金鷹眼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