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Hybrid 順勢逆勢混合策略 EA 產品說明</w:t>
      </w:r>
    </w:p>
    <w:p>
      <w:pPr>
        <w:jc w:val="center"/>
      </w:pPr>
      <w:r>
        <w:rPr>
          <w:color w:val="595959"/>
          <w:sz w:val="26"/>
        </w:rPr>
        <w:t>順勢加碼 × 逆勢補單 × 七維度共振濾網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Hybrid 是一支融合「順勢加碼」與「逆勢補單」雙模組的混合型策略 EA，提供 MT4 與 MT5 兩個版本。系統以 M5 級別的四條 EMA 均線為基礎，搭配 CCI、DeMarker、Bulls/Bears、Gator、KDJ 等多達七種濾網的共振判斷做為進場過濾，順勢時加碼放大利潤，逆勢時以網格分批接刀解套；最後由整體金額止盈、均價追蹤與動態移動止損負責結算與風控。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順勢 + 逆勢雙模組</w:t>
      </w:r>
    </w:p>
    <w:p>
      <w:r>
        <w:rPr>
          <w:sz w:val="22"/>
        </w:rPr>
        <w:t>順勢模組於趨勢延伸時加碼放大獲利；逆勢模組於行情回撤時依網格分批補單，兼顧趨勢與震盪兩種行情。</w:t>
      </w:r>
    </w:p>
    <w:p>
      <w:pPr>
        <w:pStyle w:val="Heading2"/>
      </w:pPr>
      <w:r>
        <w:rPr>
          <w:color w:val="000000"/>
          <w:sz w:val="26"/>
        </w:rPr>
        <w:t>七維度共振濾網</w:t>
      </w:r>
    </w:p>
    <w:p>
      <w:r>
        <w:rPr>
          <w:sz w:val="22"/>
        </w:rPr>
        <w:t>可獨立開關 CCI/DeMarker、Bulls/Bears、Gator、MACD、ADX、KDJ、分形等濾網，組合出符合個人風格的進場節奏。</w:t>
      </w:r>
    </w:p>
    <w:p>
      <w:pPr>
        <w:pStyle w:val="Heading2"/>
      </w:pPr>
      <w:r>
        <w:rPr>
          <w:color w:val="000000"/>
          <w:sz w:val="26"/>
        </w:rPr>
        <w:t>多空獨立魔術碼</w:t>
      </w:r>
    </w:p>
    <w:p>
      <w:r>
        <w:rPr>
          <w:sz w:val="22"/>
        </w:rPr>
        <w:t>多單與空單使用獨立魔術碼分流，便於分別管理、分別結算，亦不影響其他 EA 同帳戶共用。</w:t>
      </w:r>
    </w:p>
    <w:p>
      <w:pPr>
        <w:pStyle w:val="Heading2"/>
      </w:pPr>
      <w:r>
        <w:rPr>
          <w:color w:val="000000"/>
          <w:sz w:val="26"/>
        </w:rPr>
        <w:t>三層結算系統</w:t>
      </w:r>
    </w:p>
    <w:p>
      <w:r>
        <w:rPr>
          <w:sz w:val="22"/>
        </w:rPr>
        <w:t>提供「整體金額止盈」「多/空獨立金額止盈」「均價追蹤止盈」三層結算，達到任一條件即整批退場。</w:t>
      </w:r>
    </w:p>
    <w:p>
      <w:pPr>
        <w:pStyle w:val="Heading2"/>
      </w:pPr>
      <w:r>
        <w:rPr>
          <w:color w:val="000000"/>
          <w:sz w:val="26"/>
        </w:rPr>
        <w:t>動態移動止損</w:t>
      </w:r>
    </w:p>
    <w:p>
      <w:r>
        <w:rPr>
          <w:sz w:val="22"/>
        </w:rPr>
        <w:t>達到啟動點數後啟用移動止損；以回撤點數為步長追蹤，鎖住已累積的浮盈。</w:t>
      </w:r>
    </w:p>
    <w:p>
      <w:pPr>
        <w:pStyle w:val="Heading2"/>
      </w:pPr>
      <w:r>
        <w:rPr>
          <w:color w:val="000000"/>
          <w:sz w:val="26"/>
        </w:rPr>
        <w:t>手數與層數雙保護</w:t>
      </w:r>
    </w:p>
    <w:p>
      <w:r>
        <w:rPr>
          <w:sz w:val="22"/>
        </w:rPr>
        <w:t>設定單筆最大手數、最大層數與最大點差過濾，避免極端報價或滑點下的失控加倉。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系統先以 M5 上的四條 EMA 判斷趨勢方向，再由可組合的七種濾網同時投票確認動能、力量、震盪、結構等多維條件。多濾網共振一致時方視為有效訊號，避免單一指標誤判。</w:t>
      </w:r>
    </w:p>
    <w:p>
      <w:pPr>
        <w:pStyle w:val="Heading2"/>
      </w:pPr>
      <w:r>
        <w:rPr>
          <w:color w:val="000000"/>
          <w:sz w:val="26"/>
        </w:rPr>
        <w:t>點差與冷卻保護</w:t>
      </w:r>
    </w:p>
    <w:p>
      <w:r>
        <w:rPr>
          <w:sz w:val="22"/>
        </w:rPr>
        <w:t>進場前檢查當前點差是否超過上限；整體平倉後依設定冷卻時間暫停新單，避免追單。</w:t>
      </w:r>
    </w:p>
    <w:p>
      <w:pPr>
        <w:pStyle w:val="Heading2"/>
      </w:pPr>
      <w:r>
        <w:rPr>
          <w:color w:val="000000"/>
          <w:sz w:val="26"/>
        </w:rPr>
        <w:t>最大手數與層數截斷</w:t>
      </w:r>
    </w:p>
    <w:p>
      <w:r>
        <w:rPr>
          <w:sz w:val="22"/>
        </w:rPr>
        <w:t>順勢與逆勢均有獨立的「單筆最大手數」與「最大層數」上限，超出即停止加倉。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順勢方向以「順勢間距 × 順勢倍率」加碼，逆勢方向以「逆勢間距 × 逆勢倍率」補單；兩者皆受最大層數與最大手數雙重約束，避免曝險無限擴張。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點差過濾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當前點差超過上限。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停止新單與加倉，待點差回穩。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整體金額止盈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多+空整體浮盈達到設定美元門檻。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整批全平退場。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多/空獨立金額止盈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單一方向浮盈達門檻。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該方向整批平倉。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均價追蹤止盈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達到均價追蹤切換門檻後，自高點回撤達回撤點數。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該方向整批平倉，鎖住浮盈。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動態移動止損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達啟動點數後依步長追蹤。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止損動態跟進，逐步收緊。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模式對照</w:t>
      </w:r>
    </w:p>
    <w:p>
      <w:r>
        <w:rPr>
          <w:sz w:val="22"/>
        </w:rPr>
        <w:t>本產品提供下列模式可選：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Pure 版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Pro 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定位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純策略核心版本，僅內建核心七濾網與雙模組架構。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進階整合版本，提供更完整的風控與面板擴充。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適用客戶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希望策略行為純粹、自行控管風險者。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希望開箱即用、需要多層保護的客戶。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希望同時掌握趨勢與震盪行情、不願錯過任一型態的交易者。</w:t>
      </w:r>
    </w:p>
    <w:p>
      <w:pPr>
        <w:pStyle w:val="ListParagraph"/>
        <w:ind w:left="425"/>
      </w:pPr>
      <w:r>
        <w:rPr>
          <w:sz w:val="22"/>
        </w:rPr>
        <w:t>• 可接受逆勢補單帶來的浮虧、具備加倉資金管理觀念的使用者。</w:t>
      </w:r>
    </w:p>
    <w:p>
      <w:pPr>
        <w:pStyle w:val="ListParagraph"/>
        <w:ind w:left="425"/>
      </w:pPr>
      <w:r>
        <w:rPr>
          <w:sz w:val="22"/>
        </w:rPr>
        <w:t>• 熟悉 MT4 / MT5 環境並能正確配置 EMA、濾網等參數的使用者。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4（EA1/EA2 .mq4）與 MetaTrader 5（Hybrid_Pure.mq5）。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 為主，亦可調整參數套用其他高波動商品。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須為對沖（Hedging）帳戶。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24 小時不中斷網路；建議使用 VPS。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M5（策略運算週期）。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依逆勢最大層數 × 逆勢倍率估算潛在曝險，建議保證金預留充足。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本策略屬於含逆勢補單的混合型 EA，極端單邊行情仍可能造成顯著回撤。</w:t>
      </w:r>
    </w:p>
    <w:p>
      <w:r>
        <w:rPr>
          <w:sz w:val="22"/>
        </w:rPr>
        <w:t>建議首次部署使用 Pure 版以最小手數驗證行為，再依需求升級 Pro 版或放大規模。</w:t>
      </w:r>
    </w:p>
    <w:p>
      <w:pPr>
        <w:jc w:val="center"/>
      </w:pPr>
      <w:r>
        <w:rPr>
          <w:color w:val="808080"/>
        </w:rPr>
        <w:t>— Hybrid 順勢逆勢混合策略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