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377" w:afterLines="100"/>
        <w:jc w:val="center"/>
        <w:outlineLvl w:val="0"/>
        <w:rPr>
          <w:rFonts w:hint="eastAsia" w:ascii="Times New Roman" w:hAnsi="Times New Roman" w:eastAsia="黑体" w:cs="Times New Roman"/>
          <w:b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>202</w:t>
      </w:r>
      <w:r>
        <w:rPr>
          <w:rFonts w:hint="eastAsia" w:ascii="Times New Roman" w:hAnsi="Times New Roman" w:eastAsia="黑体" w:cs="Times New Roman"/>
          <w:b/>
          <w:sz w:val="32"/>
          <w:szCs w:val="32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sz w:val="32"/>
          <w:szCs w:val="32"/>
        </w:rPr>
        <w:t>年秋季《工程师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职业</w:t>
      </w:r>
      <w:r>
        <w:rPr>
          <w:rFonts w:ascii="Times New Roman" w:hAnsi="Times New Roman" w:eastAsia="黑体" w:cs="Times New Roman"/>
          <w:b/>
          <w:sz w:val="32"/>
          <w:szCs w:val="32"/>
        </w:rPr>
        <w:t>素养》第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3</w:t>
      </w:r>
      <w:r>
        <w:rPr>
          <w:rFonts w:ascii="Times New Roman" w:hAnsi="Times New Roman" w:eastAsia="黑体" w:cs="Times New Roman"/>
          <w:b/>
          <w:sz w:val="32"/>
          <w:szCs w:val="32"/>
        </w:rPr>
        <w:t>次作业</w:t>
      </w:r>
      <w:r>
        <w:rPr>
          <w:rFonts w:hint="eastAsia" w:ascii="Times New Roman" w:hAnsi="Times New Roman" w:eastAsia="黑体" w:cs="Times New Roman"/>
          <w:b/>
          <w:sz w:val="32"/>
          <w:szCs w:val="32"/>
          <w:lang w:val="en-US" w:eastAsia="zh-CN"/>
        </w:rPr>
        <w:t>参考答案</w:t>
      </w:r>
    </w:p>
    <w:p>
      <w:pPr>
        <w:snapToGrid w:val="0"/>
        <w:spacing w:before="377" w:beforeLines="100" w:after="188" w:afterLines="50"/>
        <w:ind w:firstLine="480" w:firstLineChars="200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某工程由9项工作组成，它们之间的关系如下表所示，请绘制双代号网络计划图，找出关键路线。</w:t>
      </w:r>
      <w:r>
        <w:rPr>
          <w:rFonts w:hint="eastAsia" w:ascii="Times New Roman" w:hAnsi="Times New Roman" w:cs="Times New Roman"/>
          <w:kern w:val="0"/>
          <w:szCs w:val="21"/>
        </w:rPr>
        <w:t>（10分）</w:t>
      </w:r>
    </w:p>
    <w:tbl>
      <w:tblPr>
        <w:tblStyle w:val="10"/>
        <w:tblW w:w="651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5"/>
        <w:gridCol w:w="1555"/>
        <w:gridCol w:w="185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工作名称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前导工作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后续工作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持续时间（天）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A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-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B、C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B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A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D、E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C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A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F、D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D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B、C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G、H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E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B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C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H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D、</w:t>
            </w:r>
            <w:r>
              <w:rPr>
                <w:rFonts w:ascii="宋体" w:hAnsi="宋体" w:eastAsia="宋体"/>
                <w:szCs w:val="21"/>
              </w:rPr>
              <w:t>E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H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D、F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G、H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-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</w:t>
            </w:r>
          </w:p>
        </w:tc>
      </w:tr>
    </w:tbl>
    <w:p>
      <w:pPr>
        <w:snapToGrid w:val="0"/>
        <w:spacing w:after="188" w:afterLines="5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</w:p>
    <w:p>
      <w:pPr>
        <w:snapToGrid w:val="0"/>
        <w:spacing w:after="188" w:afterLines="50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答：</w:t>
      </w:r>
    </w:p>
    <w:p>
      <w:pPr>
        <w:snapToGrid w:val="0"/>
        <w:spacing w:after="188" w:afterLines="50"/>
        <w:jc w:val="center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4319905" cy="2415540"/>
            <wp:effectExtent l="0" t="0" r="8255" b="7620"/>
            <wp:docPr id="4" name="图片 4" descr="8L8G2_%I93CWIRLJZFA09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L8G2_%I93CWIRLJZFA09S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after="188" w:afterLines="5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</w:p>
    <w:p>
      <w:pPr>
        <w:snapToGrid w:val="0"/>
        <w:spacing w:after="188" w:afterLines="5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</w:p>
    <w:p>
      <w:pPr>
        <w:snapToGrid w:val="0"/>
        <w:spacing w:after="188" w:afterLines="5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snapToGrid w:val="0"/>
        <w:spacing w:after="188" w:afterLines="5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eastAsia="宋体" w:cs="Times New Roman"/>
          <w:sz w:val="24"/>
          <w:szCs w:val="24"/>
        </w:rPr>
        <w:t>2.</w:t>
      </w:r>
      <w:bookmarkStart w:id="0" w:name="_Hlk89026065"/>
      <w:r>
        <w:rPr>
          <w:rFonts w:ascii="Times New Roman" w:hAnsi="Times New Roman" w:eastAsia="宋体" w:cs="Times New Roman"/>
          <w:sz w:val="24"/>
          <w:szCs w:val="24"/>
        </w:rPr>
        <w:t>现有目标层A，准则层B(含B1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B2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B3)，方案层C(含C1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C2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C3)三层</w:t>
      </w:r>
      <w:bookmarkEnd w:id="0"/>
      <w:r>
        <w:rPr>
          <w:rFonts w:ascii="Times New Roman" w:hAnsi="Times New Roman" w:eastAsia="宋体" w:cs="Times New Roman"/>
          <w:sz w:val="24"/>
          <w:szCs w:val="24"/>
        </w:rPr>
        <w:t>，判断矩阵如下表所示，请用求和法计算</w:t>
      </w:r>
      <w:r>
        <w:rPr>
          <w:rFonts w:hint="eastAsia" w:ascii="Times New Roman" w:hAnsi="Times New Roman" w:eastAsia="宋体" w:cs="Times New Roman"/>
          <w:sz w:val="24"/>
          <w:szCs w:val="24"/>
        </w:rPr>
        <w:t>各矩阵对应</w:t>
      </w:r>
      <w:r>
        <w:rPr>
          <w:rFonts w:ascii="Times New Roman" w:hAnsi="Times New Roman" w:eastAsia="宋体" w:cs="Times New Roman"/>
          <w:sz w:val="24"/>
          <w:szCs w:val="24"/>
        </w:rPr>
        <w:t>权重，并完成</w:t>
      </w:r>
      <w:r>
        <w:rPr>
          <w:rFonts w:hint="eastAsia" w:ascii="Times New Roman" w:hAnsi="Times New Roman" w:eastAsia="宋体" w:cs="Times New Roman"/>
          <w:sz w:val="24"/>
          <w:szCs w:val="24"/>
        </w:rPr>
        <w:t>最后方案的</w:t>
      </w:r>
      <w:r>
        <w:rPr>
          <w:rFonts w:ascii="Times New Roman" w:hAnsi="Times New Roman" w:eastAsia="宋体" w:cs="Times New Roman"/>
          <w:sz w:val="24"/>
          <w:szCs w:val="24"/>
        </w:rPr>
        <w:t>评价。</w:t>
      </w:r>
      <w:r>
        <w:rPr>
          <w:rFonts w:hint="eastAsia" w:ascii="Times New Roman" w:hAnsi="Times New Roman" w:eastAsia="宋体" w:cs="Times New Roman"/>
          <w:sz w:val="24"/>
          <w:szCs w:val="24"/>
        </w:rPr>
        <w:t>（计算过程中小数点保留3位）</w:t>
      </w:r>
      <w:r>
        <w:rPr>
          <w:rFonts w:hint="eastAsia" w:ascii="Times New Roman" w:hAnsi="Times New Roman" w:cs="Times New Roman"/>
          <w:kern w:val="0"/>
          <w:szCs w:val="21"/>
        </w:rPr>
        <w:t>（10分）</w:t>
      </w:r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1/5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</w:tr>
    </w:tbl>
    <w:p>
      <w:pPr>
        <w:snapToGrid w:val="0"/>
        <w:jc w:val="left"/>
        <w:rPr>
          <w:rFonts w:ascii="宋体" w:hAnsi="宋体" w:eastAsia="宋体"/>
          <w:sz w:val="24"/>
          <w:szCs w:val="24"/>
        </w:rPr>
      </w:pPr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1/7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1/5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tcBorders>
              <w:top w:val="nil"/>
              <w:bottom w:val="nil"/>
            </w:tcBorders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9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</w:tr>
    </w:tbl>
    <w:p>
      <w:pPr>
        <w:snapToGrid w:val="0"/>
        <w:jc w:val="left"/>
        <w:rPr>
          <w:rFonts w:ascii="宋体" w:hAnsi="宋体" w:eastAsia="宋体"/>
          <w:sz w:val="24"/>
          <w:szCs w:val="24"/>
        </w:rPr>
      </w:pPr>
    </w:p>
    <w:tbl>
      <w:tblPr>
        <w:tblStyle w:val="9"/>
        <w:tblW w:w="49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108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准则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 xml:space="preserve">方案  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B1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B2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B3</w:t>
            </w:r>
          </w:p>
        </w:tc>
        <w:tc>
          <w:tcPr>
            <w:tcW w:w="96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C3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</w:tr>
    </w:tbl>
    <w:p>
      <w:pPr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答：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32400" cy="1790065"/>
            <wp:effectExtent l="0" t="0" r="0" b="63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79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</w:p>
    <w:p>
      <w:pPr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Step1：求权重</w:t>
      </w:r>
    </w:p>
    <w:p>
      <w:pPr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按列归一化：原判断矩阵每一个数除以一列和：</w:t>
      </w:r>
    </w:p>
    <w:p>
      <w:pPr>
        <w:ind w:firstLine="480" w:firstLineChars="200"/>
        <w:rPr>
          <w:rFonts w:hAnsi="Cambria Math"/>
          <w:i w:val="0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k=1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>
      <w:pPr>
        <w:ind w:firstLine="480" w:firstLineChars="200"/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权重向量：先每一行相加，再除以n：</w:t>
      </w:r>
    </w:p>
    <w:p>
      <w:pPr>
        <w:ind w:firstLine="480" w:firstLineChars="200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j=1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k=1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kj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,i=1,2,...,n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</m:oMath>
      </m:oMathPara>
    </w:p>
    <w:p>
      <w:pPr>
        <w:ind w:firstLine="480" w:firstLineChars="200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0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j=1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k=1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kj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,i=1,2,...,n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</m:oMath>
      </m:oMathPara>
    </w:p>
    <w:p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Step2：一致性检验</w:t>
      </w:r>
    </w:p>
    <w:p>
      <w:pPr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mi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nary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b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</m:oMath>
      </m:oMathPara>
    </w:p>
    <w:p>
      <w:pPr>
        <w:rPr>
          <w:rFonts w:hint="eastAsia" w:hAnsi="Cambria Math" w:eastAsiaTheme="minorEastAsia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max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(AW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</m:oMath>
      </m:oMathPara>
    </w:p>
    <w:p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n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≤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3,  C.R.=C.I.=</m:t>
          </m:r>
          <m:f>
            <m:fP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4"/>
                      <w:szCs w:val="24"/>
                      <w:lang w:val="en-US" w:bidi="ar-SA"/>
                    </w:rPr>
                    <m:t>λ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max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−n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n−1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答案：</w:t>
      </w:r>
    </w:p>
    <w:tbl>
      <w:tblPr>
        <w:tblStyle w:val="10"/>
        <w:tblW w:w="5734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813"/>
        <w:gridCol w:w="814"/>
        <w:gridCol w:w="824"/>
        <w:gridCol w:w="824"/>
        <w:gridCol w:w="824"/>
        <w:gridCol w:w="82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</w:t>
            </w:r>
          </w:p>
        </w:tc>
        <w:tc>
          <w:tcPr>
            <w:tcW w:w="81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1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mi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13" w:type="dxa"/>
            <w:vAlign w:val="center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0.222</w:t>
            </w:r>
          </w:p>
        </w:tc>
        <w:tc>
          <w:tcPr>
            <w:tcW w:w="81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0.217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0.250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0.689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0.230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13" w:type="dxa"/>
            <w:vAlign w:val="center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0.667</w:t>
            </w:r>
          </w:p>
        </w:tc>
        <w:tc>
          <w:tcPr>
            <w:tcW w:w="81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0.652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0.625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1.944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0.648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13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0.111</w:t>
            </w:r>
          </w:p>
        </w:tc>
        <w:tc>
          <w:tcPr>
            <w:tcW w:w="814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0.130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0.125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0.366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0.122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3.005</w:t>
            </w:r>
          </w:p>
        </w:tc>
      </w:tr>
    </w:tbl>
    <w:p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λ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≈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3.004</m:t>
          </m:r>
        </m:oMath>
      </m:oMathPara>
    </w:p>
    <w:p>
      <w:pP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C.I=0.002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&lt;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0.1</m:t>
          </m:r>
        </m:oMath>
      </m:oMathPara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802"/>
        <w:gridCol w:w="802"/>
        <w:gridCol w:w="802"/>
        <w:gridCol w:w="824"/>
        <w:gridCol w:w="824"/>
        <w:gridCol w:w="82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 w:eastAsiaTheme="minorEastAsia" w:cstheme="minorBidi"/>
                <w:i/>
                <w:kern w:val="2"/>
                <w:sz w:val="24"/>
                <w:szCs w:val="24"/>
                <w:lang w:val="en-US" w:eastAsia="zh-CN" w:bidi="ar-SA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mi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0.111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0.077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0.130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0.318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0.105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3.306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0.333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0.231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0.217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0.781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0.258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3.040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0.556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0.692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0.652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1.900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0.637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3.040</w:t>
            </w:r>
          </w:p>
        </w:tc>
      </w:tr>
    </w:tbl>
    <w:p>
      <w:pPr>
        <w:jc w:val="center"/>
        <w:rPr>
          <w:rFonts w:hint="default" w:ascii="宋体" w:hAnsi="宋体" w:eastAsiaTheme="minorEastAsia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λ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≈</m:t>
        </m:r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3.039</w:t>
      </w:r>
    </w:p>
    <w:p>
      <w:pPr>
        <w:rPr>
          <w:rFonts w:ascii="宋体" w:hAnsi="宋体" w:eastAsia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C.I=0.02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&lt;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0.1</m:t>
          </m:r>
        </m:oMath>
      </m:oMathPara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802"/>
        <w:gridCol w:w="802"/>
        <w:gridCol w:w="802"/>
        <w:gridCol w:w="824"/>
        <w:gridCol w:w="824"/>
        <w:gridCol w:w="82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 w:eastAsiaTheme="minorEastAsia" w:cstheme="minorBidi"/>
                <w:i/>
                <w:kern w:val="2"/>
                <w:sz w:val="24"/>
                <w:szCs w:val="24"/>
                <w:lang w:val="en-US" w:eastAsia="zh-CN" w:bidi="ar-SA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mi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0.609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0.625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0.538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1.772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0.592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0.304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0.313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0.385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1.002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0.333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3.016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0.087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0.063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0.077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0.227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0.075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3.012</w:t>
            </w:r>
          </w:p>
        </w:tc>
      </w:tr>
    </w:tbl>
    <w:p>
      <w:pPr>
        <w:jc w:val="center"/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λ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≈</m:t>
        </m:r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3.014</w:t>
      </w:r>
    </w:p>
    <w:p>
      <w:pP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C.I=0.007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&lt;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0.1</m:t>
          </m:r>
        </m:oMath>
      </m:oMathPara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802"/>
        <w:gridCol w:w="802"/>
        <w:gridCol w:w="802"/>
        <w:gridCol w:w="824"/>
        <w:gridCol w:w="824"/>
        <w:gridCol w:w="82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 w:eastAsiaTheme="minorEastAsia" w:cstheme="minorBidi"/>
                <w:i/>
                <w:kern w:val="2"/>
                <w:sz w:val="24"/>
                <w:szCs w:val="24"/>
                <w:lang w:val="en-US" w:eastAsia="zh-CN" w:bidi="ar-SA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 w:eastAsiaTheme="minorEastAsia" w:cstheme="minorBidi"/>
                <w:i/>
                <w:kern w:val="2"/>
                <w:sz w:val="24"/>
                <w:szCs w:val="24"/>
                <w:lang w:val="en-US" w:eastAsia="zh-CN" w:bidi="ar-SA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mi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0.609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0.625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0.538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1.772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0.591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3.079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0.304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0.313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0.385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1.002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0.334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3.082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C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0.087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0.063</w:t>
            </w:r>
          </w:p>
        </w:tc>
        <w:tc>
          <w:tcPr>
            <w:tcW w:w="802" w:type="dxa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0.077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0.227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0.076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3.080</w:t>
            </w:r>
          </w:p>
        </w:tc>
      </w:tr>
    </w:tbl>
    <w:p>
      <w:pPr>
        <w:jc w:val="center"/>
        <w:rPr>
          <w:rFonts w:hint="default" w:ascii="宋体" w:hAnsi="宋体" w:eastAsiaTheme="minorEastAsia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λ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max</m:t>
            </m:r>
            <m:ctrl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≈</m:t>
        </m:r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3.08</w:t>
      </w:r>
    </w:p>
    <w:p>
      <w:pP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C.I=0.04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&lt;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0.1</m:t>
          </m:r>
        </m:oMath>
      </m:oMathPara>
    </w:p>
    <w:p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Step3：总排序</w:t>
      </w:r>
    </w:p>
    <w:p>
      <w:pP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r>
                <m:rPr>
                  <m:sty m:val="p"/>
                </m:r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=1</m:t>
              </m:r>
              <m:ctrl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tbl>
      <w:tblPr>
        <w:tblStyle w:val="9"/>
        <w:tblW w:w="49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108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准则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 xml:space="preserve">方案  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B1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B2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B3</w:t>
            </w:r>
          </w:p>
        </w:tc>
        <w:tc>
          <w:tcPr>
            <w:tcW w:w="96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0.230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0.648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0.122</w:t>
            </w: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0.105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0.592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0.591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0.426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0.258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0.333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0.334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0.283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0.637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0.075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0.291</w:t>
            </w:r>
          </w:p>
        </w:tc>
      </w:tr>
    </w:tbl>
    <w:p>
      <w:pP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</w:p>
    <w:p>
      <w:pPr>
        <w:rPr>
          <w:rFonts w:hint="default" w:ascii="宋体" w:hAnsi="宋体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综合评估结果说明，三个方案的优劣顺序为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,C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，且方案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明显优于其他两个方案。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具体计算举例：</w:t>
      </w:r>
    </w:p>
    <w:p>
      <w:pPr>
        <w:rPr>
          <w:rFonts w:ascii="宋体" w:hAnsi="宋体" w:eastAsia="宋体"/>
          <w:sz w:val="24"/>
          <w:szCs w:val="24"/>
        </w:rPr>
      </w:pPr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802"/>
        <w:gridCol w:w="802"/>
        <w:gridCol w:w="8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1/2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1/5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列和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FF"/>
                <w:szCs w:val="21"/>
                <w:lang w:val="en-US" w:eastAsia="zh-CN"/>
              </w:rPr>
              <w:t>4.5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1.533</w:t>
            </w:r>
          </w:p>
        </w:tc>
        <w:tc>
          <w:tcPr>
            <w:tcW w:w="802" w:type="dxa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8</w:t>
            </w:r>
          </w:p>
        </w:tc>
      </w:tr>
    </w:tbl>
    <w:p>
      <w:pPr>
        <w:jc w:val="center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i w:val="0"/>
          <w:kern w:val="2"/>
          <w:sz w:val="24"/>
          <w:szCs w:val="24"/>
          <w:lang w:val="en-US" w:eastAsia="zh-CN" w:bidi="ar-SA"/>
        </w:rPr>
        <w:t>↓</w:t>
      </w:r>
    </w:p>
    <w:tbl>
      <w:tblPr>
        <w:tblStyle w:val="10"/>
        <w:tblW w:w="5734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813"/>
        <w:gridCol w:w="814"/>
        <w:gridCol w:w="824"/>
        <w:gridCol w:w="824"/>
        <w:gridCol w:w="824"/>
        <w:gridCol w:w="82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</w:t>
            </w:r>
          </w:p>
        </w:tc>
        <w:tc>
          <w:tcPr>
            <w:tcW w:w="81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1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mi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13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  <w:t>0.222</w:t>
            </w:r>
          </w:p>
        </w:tc>
        <w:tc>
          <w:tcPr>
            <w:tcW w:w="814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0.217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0.250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0.689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0.230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13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color w:val="FFC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0.667</w:t>
            </w:r>
          </w:p>
        </w:tc>
        <w:tc>
          <w:tcPr>
            <w:tcW w:w="814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FFC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0.652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color w:val="FFC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0.625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1.944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0.648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13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0.111</w:t>
            </w:r>
          </w:p>
        </w:tc>
        <w:tc>
          <w:tcPr>
            <w:tcW w:w="814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0.130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0.125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0.366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0.122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3.005</w:t>
            </w:r>
          </w:p>
        </w:tc>
      </w:tr>
    </w:tbl>
    <w:p>
      <w:pP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按列归一化：  </w:t>
      </w:r>
      <m:oMath>
        <m:r>
          <m:rPr>
            <m:sty m:val="b"/>
          </m:rPr>
          <w:rPr>
            <w:rFonts w:hint="default" w:ascii="Cambria Math" w:hAnsi="Cambria Math" w:cstheme="minorBidi"/>
            <w:color w:val="0000FF"/>
            <w:kern w:val="2"/>
            <w:sz w:val="24"/>
            <w:szCs w:val="24"/>
            <w:vertAlign w:val="baseline"/>
            <w:lang w:val="en-US" w:eastAsia="zh-CN" w:bidi="ar-SA"/>
          </w:rPr>
          <m:t>0.222=</m:t>
        </m:r>
        <m:f>
          <m:fPr>
            <m:ctrlPr>
              <w:rPr>
                <w:rFonts w:hint="default" w:ascii="Cambria Math" w:hAnsi="Cambria Math" w:cstheme="minorBidi"/>
                <w:b/>
                <w:bCs/>
                <w:color w:val="0000FF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fPr>
          <m:num>
            <m:r>
              <m:rPr>
                <m:sty m:val="b"/>
              </m:rPr>
              <w:rPr>
                <w:rFonts w:hint="default" w:ascii="Cambria Math" w:hAnsi="Cambria Math" w:cstheme="minorBidi"/>
                <w:color w:val="0000FF"/>
                <w:kern w:val="2"/>
                <w:sz w:val="24"/>
                <w:szCs w:val="24"/>
                <w:vertAlign w:val="baseli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/>
                <w:bCs/>
                <w:color w:val="0000FF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num>
          <m:den>
            <m:r>
              <m:rPr>
                <m:sty m:val="b"/>
              </m:rPr>
              <w:rPr>
                <w:rFonts w:hint="default" w:ascii="Cambria Math" w:hAnsi="Cambria Math" w:cstheme="minorBidi"/>
                <w:color w:val="0000FF"/>
                <w:kern w:val="2"/>
                <w:sz w:val="24"/>
                <w:szCs w:val="24"/>
                <w:vertAlign w:val="baseline"/>
                <w:lang w:val="en-US" w:eastAsia="zh-CN" w:bidi="ar-SA"/>
              </w:rPr>
              <m:t>4.5</m:t>
            </m:r>
            <m:ctrlPr>
              <w:rPr>
                <w:rFonts w:hint="default" w:ascii="Cambria Math" w:hAnsi="Cambria Math" w:cstheme="minorBidi"/>
                <w:b/>
                <w:bCs/>
                <w:color w:val="0000FF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0.217=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f>
              <m:fPr>
                <m:type m:val="skw"/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1.533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0.250=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8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</w:p>
    <w:p>
      <w:pP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 xml:space="preserve">              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0.667=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4.5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0.652=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1.533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0.625=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8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</w:p>
    <w:p>
      <w:pP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 xml:space="preserve">              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0.111=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f>
              <m:fPr>
                <m:type m:val="skw"/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4.5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0.130=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f>
              <m:fPr>
                <m:type m:val="skw"/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5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1.533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0.125=</m:t>
        </m:r>
        <m:f>
          <m:f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8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>
      <w:pPr>
        <w:rPr>
          <w:rFonts w:hint="default" w:hAnsi="Cambria Math" w:eastAsiaTheme="minorEastAsia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：0.689=0.222+0.217+0.250           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：0.230=0.689/3</w:t>
      </w:r>
    </w:p>
    <w:p>
      <w:pPr>
        <w:ind w:firstLine="480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cstheme="minorBidi"/>
          <w:b/>
          <w:bCs/>
          <w:color w:val="FFC000"/>
          <w:kern w:val="2"/>
          <w:sz w:val="24"/>
          <w:szCs w:val="24"/>
          <w:vertAlign w:val="baseline"/>
          <w:lang w:val="en-US" w:eastAsia="zh-CN" w:bidi="ar-SA"/>
        </w:rPr>
        <w:t>1.944=0.667+0.652+0.625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            0.648=1.944/3</w:t>
      </w:r>
    </w:p>
    <w:p>
      <w:pPr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  0.366=0.111+0.130+0.125                0.122=0.366/3</w:t>
      </w:r>
    </w:p>
    <w:p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λ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mi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：</w:t>
      </w:r>
      <m:oMath>
        <m:r>
          <m:rPr>
            <m:sty m:val="p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3.002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color w:val="0070C0"/>
                <w:kern w:val="2"/>
                <w:sz w:val="24"/>
                <w:szCs w:val="24"/>
                <w:lang w:val="en-US" w:eastAsia="zh-CN" w:bidi="ar-SA"/>
              </w:rPr>
              <m:t>1</m:t>
            </m:r>
            <m:r>
              <m:rPr>
                <m:sty m:val="p"/>
              </m:rPr>
              <w:rPr>
                <w:rFonts w:ascii="Cambria Math" w:hAnsi="Cambria Math" w:cstheme="minorBidi"/>
                <w:color w:val="0070C0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color w:val="0070C0"/>
                <w:kern w:val="2"/>
                <w:sz w:val="24"/>
                <w:szCs w:val="24"/>
                <w:lang w:val="en-US" w:eastAsia="zh-CN" w:bidi="ar-SA"/>
              </w:rPr>
              <m:t>0.230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+</m:t>
            </m:r>
            <m:f>
              <m:fPr>
                <m:type m:val="skw"/>
                <m:ctrlPr>
                  <w:rPr>
                    <w:rFonts w:hint="default" w:ascii="Cambria Math" w:hAnsi="Cambria Math" w:cstheme="minorBidi"/>
                    <w:color w:val="D99694" w:themeColor="accent2" w:themeTint="99"/>
                    <w:kern w:val="2"/>
                    <w:sz w:val="24"/>
                    <w:szCs w:val="24"/>
                    <w:lang w:val="en-US" w:eastAsia="zh-CN" w:bidi="ar-SA"/>
                    <w14:textFill>
                      <w14:solidFill>
                        <w14:schemeClr w14:val="accent2">
                          <w14:lumMod w14:val="60000"/>
                          <w14:lumOff w14:val="40000"/>
                        </w14:schemeClr>
                      </w14:solidFill>
                    </w14:textFill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color w:val="D99694" w:themeColor="accent2" w:themeTint="99"/>
                    <w:kern w:val="2"/>
                    <w:sz w:val="24"/>
                    <w:szCs w:val="24"/>
                    <w:lang w:val="en-US" w:eastAsia="zh-CN" w:bidi="ar-SA"/>
                    <w14:textFill>
                      <w14:solidFill>
                        <w14:schemeClr w14:val="accent2">
                          <w14:lumMod w14:val="60000"/>
                          <w14:lumOff w14:val="40000"/>
                        </w14:schemeClr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cstheme="minorBidi"/>
                    <w:color w:val="D99694" w:themeColor="accent2" w:themeTint="99"/>
                    <w:kern w:val="2"/>
                    <w:sz w:val="24"/>
                    <w:szCs w:val="24"/>
                    <w:lang w:val="en-US" w:eastAsia="zh-CN" w:bidi="ar-SA"/>
                    <w14:textFill>
                      <w14:solidFill>
                        <w14:schemeClr w14:val="accent2">
                          <w14:lumMod w14:val="60000"/>
                          <w14:lumOff w14:val="40000"/>
                        </w14:schemeClr>
                      </w14:solidFill>
                    </w14:textFill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color w:val="D99694" w:themeColor="accent2" w:themeTint="99"/>
                    <w:kern w:val="2"/>
                    <w:sz w:val="24"/>
                    <w:szCs w:val="24"/>
                    <w:lang w:val="en-US" w:eastAsia="zh-CN" w:bidi="ar-SA"/>
                    <w14:textFill>
                      <w14:solidFill>
                        <w14:schemeClr w14:val="accent2">
                          <w14:lumMod w14:val="60000"/>
                          <w14:lumOff w14:val="40000"/>
                        </w14:schemeClr>
                      </w14:solidFill>
                    </w14:textFill>
                  </w:rPr>
                  <m:t>3</m:t>
                </m:r>
                <m:ctrlPr>
                  <w:rPr>
                    <w:rFonts w:hint="default" w:ascii="Cambria Math" w:hAnsi="Cambria Math" w:cstheme="minorBidi"/>
                    <w:color w:val="D99694" w:themeColor="accent2" w:themeTint="99"/>
                    <w:kern w:val="2"/>
                    <w:sz w:val="24"/>
                    <w:szCs w:val="24"/>
                    <w:lang w:val="en-US" w:eastAsia="zh-CN" w:bidi="ar-SA"/>
                    <w14:textFill>
                      <w14:solidFill>
                        <w14:schemeClr w14:val="accent2">
                          <w14:lumMod w14:val="60000"/>
                          <w14:lumOff w14:val="40000"/>
                        </w14:schemeClr>
                      </w14:solidFill>
                    </w14:textFill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theme="minorBidi"/>
                <w:color w:val="D99694" w:themeColor="accent2" w:themeTint="99"/>
                <w:kern w:val="2"/>
                <w:sz w:val="24"/>
                <w:szCs w:val="24"/>
                <w:lang w:val="en-US" w:bidi="ar-SA"/>
                <w14:textFill>
                  <w14:solidFill>
                    <w14:schemeClr w14:val="accent2">
                      <w14:lumMod w14:val="60000"/>
                      <w14:lumOff w14:val="40000"/>
                    </w14:schemeClr>
                  </w14:solidFill>
                </w14:textFill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color w:val="D99694" w:themeColor="accent2" w:themeTint="99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2">
                      <w14:lumMod w14:val="60000"/>
                      <w14:lumOff w14:val="40000"/>
                    </w14:schemeClr>
                  </w14:solidFill>
                </w14:textFill>
              </w:rPr>
              <m:t>0.648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hint="default" w:ascii="Cambria Math" w:hAnsi="Cambria Math" w:cstheme="minorBidi"/>
                <w:color w:val="00B050"/>
                <w:kern w:val="2"/>
                <w:sz w:val="24"/>
                <w:szCs w:val="24"/>
                <w:lang w:val="en-US" w:eastAsia="zh-CN" w:bidi="ar-SA"/>
              </w:rPr>
              <m:t>2</m:t>
            </m:r>
            <m:r>
              <m:rPr>
                <m:sty m:val="p"/>
              </m:rPr>
              <w:rPr>
                <w:rFonts w:ascii="Cambria Math" w:hAnsi="Cambria Math" w:cstheme="minorBidi"/>
                <w:color w:val="00B050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color w:val="00B050"/>
                <w:kern w:val="2"/>
                <w:sz w:val="24"/>
                <w:szCs w:val="24"/>
                <w:lang w:val="en-US" w:eastAsia="zh-CN" w:bidi="ar-SA"/>
              </w:rPr>
              <m:t>0.122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color w:val="0070C0"/>
                <w:kern w:val="2"/>
                <w:sz w:val="24"/>
                <w:szCs w:val="24"/>
                <w:lang w:val="en-US" w:eastAsia="zh-CN" w:bidi="ar-SA"/>
              </w:rPr>
              <m:t>0.230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    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3.004=</m:t>
        </m:r>
        <m:f>
          <m:fP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0.230+1</m:t>
            </m:r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0.648+5</m:t>
            </m:r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0.122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0.648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>
      <w:pPr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3.005=</m:t>
        </m:r>
        <m:f>
          <m:fP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f>
              <m:fPr>
                <m:type m:val="skw"/>
                <m:ctrlPr>
                  <w:rPr>
                    <w:rFonts w:hint="default" w:ascii="Cambria Math" w:hAnsi="Cambria Math" w:cstheme="minorBidi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0.230+</m:t>
            </m:r>
            <m:f>
              <m:fPr>
                <m:type m:val="skw"/>
                <m:ctrl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5</m:t>
                </m:r>
                <m:ctrl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0.648+1</m:t>
            </m:r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×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0.122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0.122</m:t>
            </m:r>
            <m:ctrlPr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tbl>
      <w:tblPr>
        <w:tblStyle w:val="10"/>
        <w:tblW w:w="491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813"/>
        <w:gridCol w:w="814"/>
        <w:gridCol w:w="824"/>
        <w:gridCol w:w="824"/>
        <w:gridCol w:w="82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A</w:t>
            </w:r>
          </w:p>
        </w:tc>
        <w:tc>
          <w:tcPr>
            <w:tcW w:w="81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1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ascii="Cambria Math" w:hAnsi="Cambria Math"/>
                <w:i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mi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1</w:t>
            </w:r>
          </w:p>
        </w:tc>
        <w:tc>
          <w:tcPr>
            <w:tcW w:w="813" w:type="dxa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FF"/>
                <w:szCs w:val="21"/>
              </w:rPr>
              <w:t>1</w:t>
            </w:r>
          </w:p>
        </w:tc>
        <w:tc>
          <w:tcPr>
            <w:tcW w:w="814" w:type="dxa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D99694" w:themeColor="accent2" w:themeTint="99"/>
                <w:szCs w:val="21"/>
                <w14:textFill>
                  <w14:solidFill>
                    <w14:schemeClr w14:val="accent2">
                      <w14:lumMod w14:val="60000"/>
                      <w14:lumOff w14:val="40000"/>
                    </w14:schemeClr>
                  </w14:solidFill>
                </w14:textFill>
              </w:rPr>
              <w:t>1/3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B050"/>
                <w:szCs w:val="21"/>
              </w:rPr>
              <w:t>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  <w:t>0.230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2</w:t>
            </w:r>
          </w:p>
        </w:tc>
        <w:tc>
          <w:tcPr>
            <w:tcW w:w="813" w:type="dxa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814" w:type="dxa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5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D99694" w:themeColor="accent2" w:themeTint="99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>
                      <w14:lumMod w14:val="60000"/>
                      <w14:lumOff w14:val="40000"/>
                    </w14:schemeClr>
                  </w14:solidFill>
                </w14:textFill>
              </w:rPr>
              <w:t>0.648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11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Cs w:val="21"/>
                <w:vertAlign w:val="subscript"/>
              </w:rPr>
              <w:t>3</w:t>
            </w:r>
          </w:p>
        </w:tc>
        <w:tc>
          <w:tcPr>
            <w:tcW w:w="813" w:type="dxa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1/2</w:t>
            </w:r>
          </w:p>
        </w:tc>
        <w:tc>
          <w:tcPr>
            <w:tcW w:w="814" w:type="dxa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1/5</w:t>
            </w:r>
          </w:p>
        </w:tc>
        <w:tc>
          <w:tcPr>
            <w:tcW w:w="824" w:type="dxa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0.122</w:t>
            </w:r>
          </w:p>
        </w:tc>
        <w:tc>
          <w:tcPr>
            <w:tcW w:w="824" w:type="dxa"/>
            <w:vAlign w:val="center"/>
          </w:tcPr>
          <w:p>
            <w:pPr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3.005</w:t>
            </w:r>
          </w:p>
        </w:tc>
      </w:tr>
    </w:tbl>
    <w:p>
      <w:pPr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max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×(3.002+3.004+3.005)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≈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3.004</m:t>
          </m:r>
        </m:oMath>
      </m:oMathPara>
    </w:p>
    <w:p>
      <w:pPr>
        <m:rPr/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n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≤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3,  C.R.=C.I.=</m:t>
          </m:r>
          <m:f>
            <m:fP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4"/>
                      <w:szCs w:val="24"/>
                      <w:lang w:val="en-US" w:bidi="ar-SA"/>
                    </w:rPr>
                    <m:t>λ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max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−n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n−1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3.004−3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3−1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=0.002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4"/>
              <w:szCs w:val="24"/>
              <w:lang w:val="en-US" w:bidi="ar-SA"/>
            </w:rPr>
            <m:t>&lt;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0.1</m:t>
          </m:r>
        </m:oMath>
      </m:oMathPara>
    </w:p>
    <w:p>
      <w:pPr>
        <m:rPr/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</w:p>
    <w:p>
      <w:pPr>
        <w:rPr>
          <w:rFonts w:hint="default" w:hAnsi="Cambria Math" w:eastAsia="宋体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=0.230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×0.105+0.648×0.592+0.122×0.591=0.426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=0.230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×0.258+0.648×0.333+0.122×0.334=0.283</m:t>
          </m:r>
          <m: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ascii="Cambria Math" w:hAnsi="Cambria Math" w:cstheme="minorBidi"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=0.230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×0.637+0.648×0.075+0.122×0.076=0.291</m:t>
          </m:r>
        </m:oMath>
      </m:oMathPara>
    </w:p>
    <w:tbl>
      <w:tblPr>
        <w:tblStyle w:val="9"/>
        <w:tblW w:w="49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108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准则</w:t>
            </w:r>
          </w:p>
          <w:p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 xml:space="preserve">方案  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B1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B2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B3</w:t>
            </w:r>
          </w:p>
        </w:tc>
        <w:tc>
          <w:tcPr>
            <w:tcW w:w="96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F0"/>
                <w:kern w:val="0"/>
                <w:sz w:val="22"/>
                <w:lang w:val="en-US" w:eastAsia="zh-CN"/>
              </w:rPr>
              <w:t>0.230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FFC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C000"/>
                <w:kern w:val="0"/>
                <w:sz w:val="22"/>
                <w:lang w:val="en-US" w:eastAsia="zh-CN"/>
              </w:rPr>
              <w:t>0.648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B05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50"/>
                <w:kern w:val="0"/>
                <w:sz w:val="22"/>
                <w:lang w:val="en-US" w:eastAsia="zh-CN"/>
              </w:rPr>
              <w:t>0.122</w:t>
            </w:r>
          </w:p>
        </w:tc>
        <w:tc>
          <w:tcPr>
            <w:tcW w:w="9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B0F0"/>
                <w:kern w:val="0"/>
                <w:sz w:val="22"/>
                <w:lang w:val="en-US" w:eastAsia="zh-CN"/>
              </w:rPr>
              <w:t>0.105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FFC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C000"/>
                <w:kern w:val="0"/>
                <w:sz w:val="22"/>
                <w:lang w:val="en-US" w:eastAsia="zh-CN"/>
              </w:rPr>
              <w:t>0.592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00B050"/>
                <w:kern w:val="0"/>
                <w:sz w:val="22"/>
                <w:lang w:val="en-US" w:eastAsia="zh-CN"/>
              </w:rPr>
            </w:pPr>
            <w:r>
              <w:rPr>
                <w:rFonts w:hint="eastAsia" w:cstheme="minorBidi"/>
                <w:color w:val="00B050"/>
                <w:kern w:val="2"/>
                <w:sz w:val="21"/>
                <w:szCs w:val="24"/>
                <w:vertAlign w:val="baseline"/>
                <w:lang w:val="en-US" w:eastAsia="zh-CN" w:bidi="ar-SA"/>
              </w:rPr>
              <w:t>0.591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kern w:val="0"/>
                <w:sz w:val="22"/>
                <w:lang w:val="en-US" w:eastAsia="zh-CN"/>
              </w:rPr>
              <w:t>0.426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0.258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0.333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0.334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0.283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0.637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0.075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0.291</w:t>
            </w:r>
          </w:p>
        </w:tc>
      </w:tr>
    </w:tbl>
    <w:p>
      <w:pPr>
        <w:snapToGrid w:val="0"/>
        <w:spacing w:after="188" w:afterLines="50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0.230 0.648 0.122为 A-B1B2B3判断矩阵的权重向量</w:t>
      </w:r>
    </w:p>
    <w:p>
      <w:pPr>
        <w:snapToGrid w:val="0"/>
        <w:spacing w:after="188" w:afterLines="50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0.105 0.258 0.637为B1-C1C2C3判断矩阵的权重向量</w:t>
      </w:r>
    </w:p>
    <w:p>
      <w:pPr>
        <w:snapToGrid w:val="0"/>
        <w:spacing w:after="188" w:afterLines="50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0.592 0.333 0.075为B2-C1C2C3判断矩阵的权重向量</w:t>
      </w:r>
      <w:bookmarkStart w:id="1" w:name="_GoBack"/>
      <w:bookmarkEnd w:id="1"/>
    </w:p>
    <w:p>
      <w:pPr>
        <w:snapToGrid w:val="0"/>
        <w:spacing w:after="188" w:afterLines="50"/>
        <w:ind w:firstLine="480" w:firstLineChars="20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0.591 0.334 0.076为B3-C1C2C3判断矩阵的权重向量</w:t>
      </w:r>
    </w:p>
    <w:p>
      <w:pPr>
        <w:snapToGrid w:val="0"/>
        <w:spacing w:after="188" w:afterLines="50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>
      <w:pPr>
        <w:snapToGrid w:val="0"/>
        <w:spacing w:after="188" w:afterLines="50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418" w:bottom="1440" w:left="1418" w:header="851" w:footer="992" w:gutter="0"/>
          <w:pgNumType w:fmt="decimal"/>
          <w:cols w:space="425" w:num="1"/>
          <w:docGrid w:type="lines" w:linePitch="377" w:charSpace="0"/>
        </w:sectPr>
      </w:pPr>
    </w:p>
    <w:p>
      <w:pPr>
        <w:snapToGrid w:val="0"/>
        <w:spacing w:after="188" w:afterLines="50"/>
        <w:ind w:firstLine="480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某承包商计划采取两种策略向某工程投标。一种是投高标，中标机会为0.35，不中标机会为0.65；另一种是投低标，中标机会为0.6，不中标机会为0.4。投标不中时，则损失投标准备费5万元。中标后的情况见下表，请用决策树做策。（10分）</w:t>
      </w:r>
    </w:p>
    <w:tbl>
      <w:tblPr>
        <w:tblStyle w:val="10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560"/>
        <w:gridCol w:w="1984"/>
        <w:gridCol w:w="192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129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方案</w:t>
            </w:r>
          </w:p>
        </w:tc>
        <w:tc>
          <w:tcPr>
            <w:tcW w:w="1560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效果</w:t>
            </w:r>
          </w:p>
        </w:tc>
        <w:tc>
          <w:tcPr>
            <w:tcW w:w="198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可能获利（万元）</w:t>
            </w:r>
          </w:p>
        </w:tc>
        <w:tc>
          <w:tcPr>
            <w:tcW w:w="192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概率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1129" w:type="dxa"/>
            <w:vMerge w:val="restart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高标</w:t>
            </w:r>
          </w:p>
        </w:tc>
        <w:tc>
          <w:tcPr>
            <w:tcW w:w="1560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好</w:t>
            </w:r>
          </w:p>
        </w:tc>
        <w:tc>
          <w:tcPr>
            <w:tcW w:w="198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szCs w:val="21"/>
              </w:rPr>
              <w:t>00</w:t>
            </w:r>
          </w:p>
        </w:tc>
        <w:tc>
          <w:tcPr>
            <w:tcW w:w="192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0.</w:t>
            </w: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129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一般</w:t>
            </w:r>
          </w:p>
        </w:tc>
        <w:tc>
          <w:tcPr>
            <w:tcW w:w="198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00</w:t>
            </w:r>
          </w:p>
        </w:tc>
        <w:tc>
          <w:tcPr>
            <w:tcW w:w="192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0.</w:t>
            </w:r>
            <w:r>
              <w:rPr>
                <w:rFonts w:ascii="Times New Roman" w:hAnsi="Times New Roman" w:eastAsia="宋体" w:cs="Times New Roman"/>
                <w:szCs w:val="21"/>
              </w:rPr>
              <w:t>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129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赔</w:t>
            </w:r>
          </w:p>
        </w:tc>
        <w:tc>
          <w:tcPr>
            <w:tcW w:w="198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-</w:t>
            </w:r>
            <w:r>
              <w:rPr>
                <w:rFonts w:ascii="Times New Roman" w:hAnsi="Times New Roman" w:eastAsia="宋体" w:cs="Times New Roman"/>
                <w:szCs w:val="21"/>
              </w:rPr>
              <w:t>100</w:t>
            </w:r>
          </w:p>
        </w:tc>
        <w:tc>
          <w:tcPr>
            <w:tcW w:w="192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0.</w:t>
            </w: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129" w:type="dxa"/>
            <w:vMerge w:val="restart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低标</w:t>
            </w:r>
          </w:p>
        </w:tc>
        <w:tc>
          <w:tcPr>
            <w:tcW w:w="1560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好</w:t>
            </w:r>
          </w:p>
        </w:tc>
        <w:tc>
          <w:tcPr>
            <w:tcW w:w="198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szCs w:val="21"/>
              </w:rPr>
              <w:t>50</w:t>
            </w:r>
          </w:p>
        </w:tc>
        <w:tc>
          <w:tcPr>
            <w:tcW w:w="192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0.</w:t>
            </w: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129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一般</w:t>
            </w:r>
          </w:p>
        </w:tc>
        <w:tc>
          <w:tcPr>
            <w:tcW w:w="198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</w:t>
            </w:r>
            <w:r>
              <w:rPr>
                <w:rFonts w:ascii="Times New Roman" w:hAnsi="Times New Roman" w:eastAsia="宋体" w:cs="Times New Roman"/>
                <w:szCs w:val="21"/>
              </w:rPr>
              <w:t>00</w:t>
            </w:r>
          </w:p>
        </w:tc>
        <w:tc>
          <w:tcPr>
            <w:tcW w:w="192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0.</w:t>
            </w:r>
            <w:r>
              <w:rPr>
                <w:rFonts w:ascii="Times New Roman" w:hAnsi="Times New Roman" w:eastAsia="宋体" w:cs="Times New Roman"/>
                <w:szCs w:val="21"/>
              </w:rPr>
              <w:t>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129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赔</w:t>
            </w:r>
          </w:p>
        </w:tc>
        <w:tc>
          <w:tcPr>
            <w:tcW w:w="1984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-</w:t>
            </w:r>
            <w:r>
              <w:rPr>
                <w:rFonts w:ascii="Times New Roman" w:hAnsi="Times New Roman" w:eastAsia="宋体" w:cs="Times New Roman"/>
                <w:szCs w:val="21"/>
              </w:rPr>
              <w:t>150</w:t>
            </w:r>
          </w:p>
        </w:tc>
        <w:tc>
          <w:tcPr>
            <w:tcW w:w="1923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0.</w:t>
            </w: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</w:tr>
    </w:tbl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答：</w:t>
      </w:r>
    </w:p>
    <w:p>
      <w:pPr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4319905" cy="3257550"/>
            <wp:effectExtent l="0" t="0" r="8255" b="3810"/>
            <wp:docPr id="2" name="图片 2" descr="1669712640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697126402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高标：s1=0.35*[0.3*500+0.5*300+0.2*(-100)]+0.65*(-5)=94.75（万元）</w:t>
      </w:r>
    </w:p>
    <w:p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低标：s2=0.6*[0.2*350+0.6*200+0.2*(-150)]+0.4*(-5)=94（万元）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计算的结果表明：高标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的期望值高于低标，因此应采用高标策略。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>
      <w:pPr>
        <w:snapToGrid w:val="0"/>
        <w:spacing w:after="188" w:afterLines="50"/>
        <w:jc w:val="left"/>
        <w:rPr>
          <w:rFonts w:ascii="Times New Roman" w:hAnsi="Times New Roman" w:eastAsia="宋体" w:cs="Times New Roman"/>
          <w:sz w:val="24"/>
          <w:szCs w:val="24"/>
        </w:rPr>
      </w:pPr>
    </w:p>
    <w:p>
      <w:pPr>
        <w:widowControl/>
        <w:ind w:firstLine="480" w:firstLineChars="2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kern w:val="0"/>
          <w:sz w:val="24"/>
          <w:szCs w:val="24"/>
        </w:rPr>
        <w:t>4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>有下列两项（A和B）工程项目：</w:t>
      </w:r>
    </w:p>
    <w:p>
      <w:pPr>
        <w:widowControl/>
        <w:ind w:firstLine="480" w:firstLineChars="2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kern w:val="0"/>
          <w:sz w:val="24"/>
          <w:szCs w:val="24"/>
        </w:rPr>
        <w:t>项目A名称：远程智能宠物喂食系统开发。该项目要求当用户长时间离家时，可以远程了解宠物生活情况，实现智能喂养。</w:t>
      </w:r>
    </w:p>
    <w:p>
      <w:pPr>
        <w:widowControl/>
        <w:ind w:firstLine="480" w:firstLineChars="2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kern w:val="0"/>
          <w:sz w:val="24"/>
          <w:szCs w:val="24"/>
        </w:rPr>
        <w:t>项目B名称：远程智能浇花系统开发。该项目要求当用户长时间离家时，系统可以感知盆栽的生长环境状态，实现智能浇水。</w:t>
      </w:r>
    </w:p>
    <w:p>
      <w:pPr>
        <w:widowControl/>
        <w:ind w:firstLine="482" w:firstLineChars="200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kern w:val="0"/>
          <w:sz w:val="24"/>
          <w:szCs w:val="24"/>
        </w:rPr>
        <w:t>选择上述两个项目中的一个完成。</w:t>
      </w:r>
    </w:p>
    <w:p>
      <w:pPr>
        <w:widowControl/>
        <w:ind w:firstLine="480" w:firstLineChars="2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kern w:val="0"/>
          <w:sz w:val="24"/>
          <w:szCs w:val="24"/>
        </w:rPr>
        <w:t>（1）分析该工程在技术、管理、经济方面特点与需求，确定工程的功能、开发周期、投资额度等目标。（</w:t>
      </w:r>
      <w:r>
        <w:rPr>
          <w:rFonts w:ascii="Times New Roman" w:hAnsi="Times New Roman" w:cs="Times New Roman"/>
          <w:kern w:val="0"/>
          <w:sz w:val="24"/>
          <w:szCs w:val="24"/>
        </w:rPr>
        <w:t>2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>0分）</w:t>
      </w:r>
    </w:p>
    <w:p>
      <w:pPr>
        <w:widowControl/>
        <w:ind w:firstLine="480" w:firstLineChars="2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kern w:val="0"/>
          <w:sz w:val="24"/>
          <w:szCs w:val="24"/>
        </w:rPr>
        <w:t>（2）选择该工程阶段划分、进度控制、成本分析的方法，说明方法的原理。（</w:t>
      </w:r>
      <w:r>
        <w:rPr>
          <w:rFonts w:ascii="Times New Roman" w:hAnsi="Times New Roman" w:cs="Times New Roman"/>
          <w:kern w:val="0"/>
          <w:sz w:val="24"/>
          <w:szCs w:val="24"/>
        </w:rPr>
        <w:t>2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>0分）</w:t>
      </w:r>
    </w:p>
    <w:p>
      <w:pPr>
        <w:widowControl/>
        <w:ind w:firstLine="480" w:firstLineChars="2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kern w:val="0"/>
          <w:sz w:val="24"/>
          <w:szCs w:val="24"/>
        </w:rPr>
        <w:t>（3）分析该工程在阶段分析、过程规划与成本分析需考虑的要素、遵循的原则，以及这些要素、原则对成本的影响</w:t>
      </w:r>
      <w:r>
        <w:rPr>
          <w:rFonts w:hint="eastAsia" w:ascii="Times New Roman" w:hAnsi="Times New Roman" w:cs="Times New Roman"/>
          <w:spacing w:val="-10"/>
          <w:kern w:val="0"/>
          <w:sz w:val="24"/>
          <w:szCs w:val="24"/>
        </w:rPr>
        <w:t>。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15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>分)</w:t>
      </w:r>
    </w:p>
    <w:p>
      <w:pPr>
        <w:widowControl/>
        <w:ind w:firstLine="480" w:firstLineChars="2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kern w:val="0"/>
          <w:sz w:val="24"/>
          <w:szCs w:val="24"/>
        </w:rPr>
        <w:t>（4）设计该工程的实施阶段、过程规划与成本控制方案。（10分）</w:t>
      </w:r>
    </w:p>
    <w:p>
      <w:pPr>
        <w:widowControl/>
        <w:jc w:val="left"/>
        <w:rPr>
          <w:rFonts w:ascii="Times New Roman" w:hAnsi="Times New Roman" w:cs="Times New Roman"/>
          <w:spacing w:val="-10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spacing w:val="-10"/>
          <w:kern w:val="0"/>
          <w:sz w:val="24"/>
          <w:szCs w:val="24"/>
        </w:rPr>
        <w:t>（5）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>确定工程的系统阶段分析、过程规划与成本分析方案的评价方法</w:t>
      </w:r>
      <w:r>
        <w:rPr>
          <w:rFonts w:hint="eastAsia" w:ascii="Times New Roman" w:hAnsi="Times New Roman" w:cs="Times New Roman"/>
          <w:spacing w:val="-10"/>
          <w:kern w:val="0"/>
          <w:sz w:val="24"/>
          <w:szCs w:val="24"/>
        </w:rPr>
        <w:t>。(</w:t>
      </w:r>
      <w:r>
        <w:rPr>
          <w:rFonts w:ascii="Times New Roman" w:hAnsi="Times New Roman" w:cs="Times New Roman"/>
          <w:spacing w:val="-10"/>
          <w:kern w:val="0"/>
          <w:sz w:val="24"/>
          <w:szCs w:val="24"/>
        </w:rPr>
        <w:t>5</w:t>
      </w:r>
      <w:r>
        <w:rPr>
          <w:rFonts w:hint="eastAsia" w:ascii="Times New Roman" w:hAnsi="Times New Roman" w:cs="Times New Roman"/>
          <w:spacing w:val="-10"/>
          <w:kern w:val="0"/>
          <w:sz w:val="24"/>
          <w:szCs w:val="24"/>
        </w:rPr>
        <w:t>分)</w:t>
      </w:r>
    </w:p>
    <w:p>
      <w:pPr>
        <w:widowControl/>
        <w:ind w:firstLine="440" w:firstLineChars="200"/>
        <w:jc w:val="left"/>
        <w:rPr>
          <w:rFonts w:hint="eastAsia"/>
          <w:spacing w:val="-10"/>
          <w:kern w:val="0"/>
          <w:sz w:val="24"/>
          <w:szCs w:val="24"/>
          <w:lang w:val="en-US" w:eastAsia="zh-CN"/>
        </w:rPr>
      </w:pPr>
      <w:r>
        <w:rPr>
          <w:rFonts w:hint="eastAsia"/>
          <w:spacing w:val="-10"/>
          <w:kern w:val="0"/>
          <w:sz w:val="24"/>
          <w:szCs w:val="24"/>
          <w:lang w:val="en-US" w:eastAsia="zh-CN"/>
        </w:rPr>
        <w:t>答：</w:t>
      </w:r>
    </w:p>
    <w:p>
      <w:pPr>
        <w:widowControl/>
        <w:numPr>
          <w:ilvl w:val="0"/>
          <w:numId w:val="1"/>
        </w:numPr>
        <w:ind w:firstLine="480" w:firstLineChars="200"/>
        <w:jc w:val="left"/>
        <w:rPr>
          <w:rFonts w:hint="default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结合所选工程项目的实际特点作答。注意结合参考教材第2页“工程的本质和特征”、第232页“工程的特点”、第239页“系统工程方法论”中关于工程目标及工程规划的相关内容、第256页“成本估算”（投资额度与此相关）等。</w:t>
      </w:r>
    </w:p>
    <w:p>
      <w:pPr>
        <w:widowControl/>
        <w:ind w:firstLine="480" w:firstLineChars="2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（2）阶段划分：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可采用Hall三维结构法并阐述原理；进度控制：可采用网络计划图法并阐述原理；成本分析：结合成本估算、预算、成本控制（挣值分析法等）。</w:t>
      </w:r>
    </w:p>
    <w:p>
      <w:pPr>
        <w:widowControl/>
        <w:ind w:firstLine="480" w:firstLineChars="2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（3）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阶段分析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要素：时间维、逻辑维、知识维；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原则：三维结构法；</w:t>
      </w:r>
    </w:p>
    <w:p>
      <w:pPr>
        <w:widowControl/>
        <w:ind w:firstLine="720" w:firstLineChars="300"/>
        <w:jc w:val="left"/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影响：优化不必要的开支。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 xml:space="preserve">过程规划 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要素：网络计划时间参数；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原则：工期成本优化原则；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影响：最优计划方案工程费用最低。</w:t>
      </w:r>
    </w:p>
    <w:p>
      <w:pPr>
        <w:widowControl/>
        <w:ind w:firstLine="480" w:firstLineChars="200"/>
        <w:jc w:val="left"/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成本分析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 xml:space="preserve"> </w:t>
      </w:r>
    </w:p>
    <w:p>
      <w:pPr>
        <w:widowControl/>
        <w:ind w:firstLine="720" w:firstLineChars="300"/>
        <w:jc w:val="left"/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要素：决策成本、设计成本、获取成本、实施成本；</w:t>
      </w:r>
    </w:p>
    <w:p>
      <w:pPr>
        <w:widowControl/>
        <w:ind w:firstLine="720" w:firstLineChars="300"/>
        <w:jc w:val="left"/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原则：成本效益原则、因地制宜原则</w:t>
      </w:r>
      <w:r>
        <w:rPr>
          <w:rFonts w:hint="eastAsia" w:ascii="Times New Roman" w:hAnsi="Times New Roman" w:cs="Times New Roman"/>
          <w:kern w:val="0"/>
          <w:sz w:val="24"/>
          <w:szCs w:val="24"/>
          <w:lang w:val="en-US" w:eastAsia="zh-CN"/>
        </w:rPr>
        <w:t>。</w:t>
      </w:r>
    </w:p>
    <w:p>
      <w:pPr>
        <w:widowControl/>
        <w:ind w:firstLine="720" w:firstLineChars="300"/>
        <w:jc w:val="left"/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/>
        </w:rPr>
        <w:t>影响：优化成本结构，减少不必要开支</w:t>
      </w:r>
    </w:p>
    <w:p>
      <w:pPr>
        <w:widowControl/>
        <w:ind w:firstLine="720" w:firstLineChars="300"/>
        <w:jc w:val="left"/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课件《系统成本管理》中归纳了</w:t>
      </w:r>
      <w:r>
        <w:rPr>
          <w:rFonts w:hint="default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影响项目成本的主要因素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。</w:t>
      </w:r>
    </w:p>
    <w:p>
      <w:pPr>
        <w:widowControl/>
        <w:ind w:firstLine="720" w:firstLineChars="300"/>
        <w:jc w:val="left"/>
        <w:rPr>
          <w:rFonts w:hint="default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此外，还可考虑环保、健康、安全等。</w:t>
      </w:r>
    </w:p>
    <w:p>
      <w:pPr>
        <w:widowControl/>
        <w:ind w:firstLine="480" w:firstLineChars="200"/>
        <w:jc w:val="left"/>
        <w:rPr>
          <w:rFonts w:hint="default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（4）结合所选工程项目的实际特点作答。可参考课件中的相关案例，适当简化。</w:t>
      </w:r>
    </w:p>
    <w:p>
      <w:pPr>
        <w:widowControl/>
        <w:ind w:firstLine="480" w:firstLineChars="200"/>
        <w:jc w:val="left"/>
        <w:rPr>
          <w:rFonts w:hint="default" w:ascii="Times New Roman" w:hAnsi="Times New Roman" w:cs="Times New Roman" w:eastAsiaTheme="minorEastAsia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（5）系统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</w:rPr>
        <w:t>评价方法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eastAsia="zh-CN"/>
        </w:rPr>
        <w:t>：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关联矩阵、层次分析法等。若采用层次分析法，可将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</w:rPr>
        <w:t>阶段分析、过程规划与成本分析</w:t>
      </w:r>
      <w:r>
        <w:rPr>
          <w:rFonts w:hint="eastAsia" w:ascii="Times New Roman" w:hAnsi="Times New Roman" w:cs="Times New Roman"/>
          <w:kern w:val="0"/>
          <w:sz w:val="24"/>
          <w:szCs w:val="24"/>
          <w:highlight w:val="yellow"/>
          <w:lang w:val="en-US" w:eastAsia="zh-CN"/>
        </w:rPr>
        <w:t>方案作为准则层。</w:t>
      </w:r>
    </w:p>
    <w:sectPr>
      <w:pgSz w:w="11906" w:h="16838"/>
      <w:pgMar w:top="1440" w:right="1418" w:bottom="1440" w:left="1418" w:header="851" w:footer="992" w:gutter="0"/>
      <w:pgNumType w:fmt="decimal"/>
      <w:cols w:space="425" w:num="1"/>
      <w:docGrid w:type="lines" w:linePitch="37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right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PAGE 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1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PAGE 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1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>
    <w:pPr>
      <w:pStyle w:val="6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  <w:jc w:val="center"/>
    </w:pPr>
    <w:r>
      <w:rPr>
        <w:rFonts w:hint="eastAsia"/>
        <w:lang w:val="en-US" w:eastAsia="zh-CN"/>
      </w:rPr>
      <w:t>重庆大学</w:t>
    </w:r>
    <w:r>
      <w:rPr>
        <w:rFonts w:hint="eastAsia"/>
      </w:rPr>
      <w:t>202</w:t>
    </w:r>
    <w:r>
      <w:rPr>
        <w:rFonts w:hint="eastAsia"/>
        <w:lang w:val="en-US" w:eastAsia="zh-CN"/>
      </w:rPr>
      <w:t>3</w:t>
    </w:r>
    <w:r>
      <w:rPr>
        <w:rFonts w:hint="eastAsia"/>
      </w:rPr>
      <w:t>年秋季《工程师职业素养》第3次作业参考答案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56B50"/>
    <w:multiLevelType w:val="singleLevel"/>
    <w:tmpl w:val="4D256B5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37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zZDZiZDcxMDhiMWYyZmZmMDBlMGRiMTA1M2VlODQifQ=="/>
  </w:docVars>
  <w:rsids>
    <w:rsidRoot w:val="00A06426"/>
    <w:rsid w:val="0000551B"/>
    <w:rsid w:val="00010547"/>
    <w:rsid w:val="0001153E"/>
    <w:rsid w:val="00024ED5"/>
    <w:rsid w:val="000305A3"/>
    <w:rsid w:val="000437DC"/>
    <w:rsid w:val="000452F3"/>
    <w:rsid w:val="000538BD"/>
    <w:rsid w:val="000576A4"/>
    <w:rsid w:val="0006358A"/>
    <w:rsid w:val="00094528"/>
    <w:rsid w:val="00095D5C"/>
    <w:rsid w:val="000B2653"/>
    <w:rsid w:val="000B4485"/>
    <w:rsid w:val="000C55D5"/>
    <w:rsid w:val="000C6DBA"/>
    <w:rsid w:val="000D20D7"/>
    <w:rsid w:val="000E0AEA"/>
    <w:rsid w:val="000E4470"/>
    <w:rsid w:val="000E5341"/>
    <w:rsid w:val="000E6D96"/>
    <w:rsid w:val="000F45A1"/>
    <w:rsid w:val="000F6FF6"/>
    <w:rsid w:val="000F7A30"/>
    <w:rsid w:val="001302F0"/>
    <w:rsid w:val="00130FDA"/>
    <w:rsid w:val="001328A1"/>
    <w:rsid w:val="00134C1D"/>
    <w:rsid w:val="001355C3"/>
    <w:rsid w:val="001442F0"/>
    <w:rsid w:val="00153A96"/>
    <w:rsid w:val="00162D81"/>
    <w:rsid w:val="001636A8"/>
    <w:rsid w:val="00170192"/>
    <w:rsid w:val="001707A1"/>
    <w:rsid w:val="00172CEC"/>
    <w:rsid w:val="00180778"/>
    <w:rsid w:val="001825CA"/>
    <w:rsid w:val="001827D6"/>
    <w:rsid w:val="00182DA4"/>
    <w:rsid w:val="00182F52"/>
    <w:rsid w:val="0018388A"/>
    <w:rsid w:val="00190CB3"/>
    <w:rsid w:val="00192A55"/>
    <w:rsid w:val="0019384C"/>
    <w:rsid w:val="00193F3F"/>
    <w:rsid w:val="001A55C1"/>
    <w:rsid w:val="001B4165"/>
    <w:rsid w:val="001C4AF7"/>
    <w:rsid w:val="001C54EE"/>
    <w:rsid w:val="001C65FA"/>
    <w:rsid w:val="001E196F"/>
    <w:rsid w:val="001E4C38"/>
    <w:rsid w:val="001F2491"/>
    <w:rsid w:val="00206085"/>
    <w:rsid w:val="002123FC"/>
    <w:rsid w:val="00215888"/>
    <w:rsid w:val="00243820"/>
    <w:rsid w:val="00251451"/>
    <w:rsid w:val="002551BE"/>
    <w:rsid w:val="00277999"/>
    <w:rsid w:val="00292241"/>
    <w:rsid w:val="002A04E9"/>
    <w:rsid w:val="002A3D99"/>
    <w:rsid w:val="002A4163"/>
    <w:rsid w:val="002B67B9"/>
    <w:rsid w:val="002C253F"/>
    <w:rsid w:val="002D06FA"/>
    <w:rsid w:val="002E0AEB"/>
    <w:rsid w:val="002E0E5D"/>
    <w:rsid w:val="002F6676"/>
    <w:rsid w:val="00302A05"/>
    <w:rsid w:val="0031188A"/>
    <w:rsid w:val="00314396"/>
    <w:rsid w:val="00324BBB"/>
    <w:rsid w:val="00333358"/>
    <w:rsid w:val="00343973"/>
    <w:rsid w:val="003475F9"/>
    <w:rsid w:val="003621C6"/>
    <w:rsid w:val="00364422"/>
    <w:rsid w:val="00365CA3"/>
    <w:rsid w:val="003708F6"/>
    <w:rsid w:val="003710E5"/>
    <w:rsid w:val="00393533"/>
    <w:rsid w:val="00397668"/>
    <w:rsid w:val="00397CA1"/>
    <w:rsid w:val="003A0126"/>
    <w:rsid w:val="003A0F67"/>
    <w:rsid w:val="003A2281"/>
    <w:rsid w:val="003B09F0"/>
    <w:rsid w:val="003B3AB7"/>
    <w:rsid w:val="003B618D"/>
    <w:rsid w:val="003C4910"/>
    <w:rsid w:val="003C668E"/>
    <w:rsid w:val="003C7EAF"/>
    <w:rsid w:val="003D347F"/>
    <w:rsid w:val="003D4746"/>
    <w:rsid w:val="003D4FCD"/>
    <w:rsid w:val="003D539D"/>
    <w:rsid w:val="003E4654"/>
    <w:rsid w:val="00401270"/>
    <w:rsid w:val="0040130C"/>
    <w:rsid w:val="00404D2C"/>
    <w:rsid w:val="004050AD"/>
    <w:rsid w:val="00405F6E"/>
    <w:rsid w:val="004109F3"/>
    <w:rsid w:val="00415CA3"/>
    <w:rsid w:val="00432920"/>
    <w:rsid w:val="004339A6"/>
    <w:rsid w:val="00435195"/>
    <w:rsid w:val="00435730"/>
    <w:rsid w:val="00441092"/>
    <w:rsid w:val="004424A7"/>
    <w:rsid w:val="00456122"/>
    <w:rsid w:val="00461306"/>
    <w:rsid w:val="00481551"/>
    <w:rsid w:val="004815C4"/>
    <w:rsid w:val="00486D8C"/>
    <w:rsid w:val="00492155"/>
    <w:rsid w:val="004B0025"/>
    <w:rsid w:val="004B37F0"/>
    <w:rsid w:val="004C6AFB"/>
    <w:rsid w:val="004D0F27"/>
    <w:rsid w:val="004D1652"/>
    <w:rsid w:val="004E42CB"/>
    <w:rsid w:val="004F26FB"/>
    <w:rsid w:val="004F4D76"/>
    <w:rsid w:val="004F5F68"/>
    <w:rsid w:val="004F71BC"/>
    <w:rsid w:val="00501C8D"/>
    <w:rsid w:val="00505D1E"/>
    <w:rsid w:val="0050758B"/>
    <w:rsid w:val="00515C33"/>
    <w:rsid w:val="0051795A"/>
    <w:rsid w:val="00547A8C"/>
    <w:rsid w:val="005552A2"/>
    <w:rsid w:val="00555665"/>
    <w:rsid w:val="00562CB9"/>
    <w:rsid w:val="00564456"/>
    <w:rsid w:val="00565066"/>
    <w:rsid w:val="00565100"/>
    <w:rsid w:val="00565FDB"/>
    <w:rsid w:val="00567605"/>
    <w:rsid w:val="00572766"/>
    <w:rsid w:val="0057749D"/>
    <w:rsid w:val="00581FFA"/>
    <w:rsid w:val="005820FE"/>
    <w:rsid w:val="005822BF"/>
    <w:rsid w:val="00587DF5"/>
    <w:rsid w:val="0059548B"/>
    <w:rsid w:val="0059676E"/>
    <w:rsid w:val="005A537B"/>
    <w:rsid w:val="005A58BB"/>
    <w:rsid w:val="005A69E1"/>
    <w:rsid w:val="005B3641"/>
    <w:rsid w:val="005C40DD"/>
    <w:rsid w:val="005D5401"/>
    <w:rsid w:val="005E202F"/>
    <w:rsid w:val="005E77AE"/>
    <w:rsid w:val="0060011A"/>
    <w:rsid w:val="00600E8D"/>
    <w:rsid w:val="00601390"/>
    <w:rsid w:val="0061070D"/>
    <w:rsid w:val="00613025"/>
    <w:rsid w:val="00614EFE"/>
    <w:rsid w:val="00615A13"/>
    <w:rsid w:val="00616750"/>
    <w:rsid w:val="006335DB"/>
    <w:rsid w:val="00634707"/>
    <w:rsid w:val="00634BD8"/>
    <w:rsid w:val="00637576"/>
    <w:rsid w:val="0066172B"/>
    <w:rsid w:val="00696A6A"/>
    <w:rsid w:val="006A0DCC"/>
    <w:rsid w:val="006A205E"/>
    <w:rsid w:val="006B392E"/>
    <w:rsid w:val="006B425C"/>
    <w:rsid w:val="006C00B0"/>
    <w:rsid w:val="006C4A48"/>
    <w:rsid w:val="006F3832"/>
    <w:rsid w:val="006F3DEA"/>
    <w:rsid w:val="00703951"/>
    <w:rsid w:val="00721AA7"/>
    <w:rsid w:val="007220F6"/>
    <w:rsid w:val="00725187"/>
    <w:rsid w:val="00732A3A"/>
    <w:rsid w:val="00736682"/>
    <w:rsid w:val="00736A29"/>
    <w:rsid w:val="00741920"/>
    <w:rsid w:val="007454F3"/>
    <w:rsid w:val="00756A41"/>
    <w:rsid w:val="00757ECF"/>
    <w:rsid w:val="00761829"/>
    <w:rsid w:val="00761D66"/>
    <w:rsid w:val="00764AAB"/>
    <w:rsid w:val="00767DF0"/>
    <w:rsid w:val="007711DD"/>
    <w:rsid w:val="00774AEA"/>
    <w:rsid w:val="00780671"/>
    <w:rsid w:val="007927F0"/>
    <w:rsid w:val="007B58A5"/>
    <w:rsid w:val="007B7461"/>
    <w:rsid w:val="007C0A84"/>
    <w:rsid w:val="007C2F26"/>
    <w:rsid w:val="007C4783"/>
    <w:rsid w:val="007D2FEF"/>
    <w:rsid w:val="007D462D"/>
    <w:rsid w:val="007D5295"/>
    <w:rsid w:val="007E4844"/>
    <w:rsid w:val="007E5976"/>
    <w:rsid w:val="007E60F4"/>
    <w:rsid w:val="007F1759"/>
    <w:rsid w:val="0082172E"/>
    <w:rsid w:val="00826003"/>
    <w:rsid w:val="00832EBD"/>
    <w:rsid w:val="00837C91"/>
    <w:rsid w:val="008454C7"/>
    <w:rsid w:val="00850540"/>
    <w:rsid w:val="00851BC4"/>
    <w:rsid w:val="008645EF"/>
    <w:rsid w:val="008655B9"/>
    <w:rsid w:val="0086788D"/>
    <w:rsid w:val="00874D96"/>
    <w:rsid w:val="00876EAF"/>
    <w:rsid w:val="00877AC1"/>
    <w:rsid w:val="008822F0"/>
    <w:rsid w:val="00885158"/>
    <w:rsid w:val="00895480"/>
    <w:rsid w:val="00895A46"/>
    <w:rsid w:val="00897142"/>
    <w:rsid w:val="008A4E02"/>
    <w:rsid w:val="008A58D2"/>
    <w:rsid w:val="008A7014"/>
    <w:rsid w:val="008B1C77"/>
    <w:rsid w:val="008B3B05"/>
    <w:rsid w:val="008C1F72"/>
    <w:rsid w:val="008C2FBA"/>
    <w:rsid w:val="008D158C"/>
    <w:rsid w:val="008D192C"/>
    <w:rsid w:val="008D1C1E"/>
    <w:rsid w:val="008D4B56"/>
    <w:rsid w:val="008E0938"/>
    <w:rsid w:val="008E1039"/>
    <w:rsid w:val="008E5C7C"/>
    <w:rsid w:val="008E6229"/>
    <w:rsid w:val="008E7203"/>
    <w:rsid w:val="008F6BEF"/>
    <w:rsid w:val="008F7129"/>
    <w:rsid w:val="00904AFC"/>
    <w:rsid w:val="00912C8B"/>
    <w:rsid w:val="009133A6"/>
    <w:rsid w:val="00915D5B"/>
    <w:rsid w:val="009169EA"/>
    <w:rsid w:val="0091735F"/>
    <w:rsid w:val="009375BB"/>
    <w:rsid w:val="00951417"/>
    <w:rsid w:val="009561A5"/>
    <w:rsid w:val="00965ECB"/>
    <w:rsid w:val="009662EB"/>
    <w:rsid w:val="0097444F"/>
    <w:rsid w:val="009757B0"/>
    <w:rsid w:val="00996EB1"/>
    <w:rsid w:val="009A12BF"/>
    <w:rsid w:val="009A68B9"/>
    <w:rsid w:val="009B3911"/>
    <w:rsid w:val="009B6772"/>
    <w:rsid w:val="009D46FF"/>
    <w:rsid w:val="009D4E36"/>
    <w:rsid w:val="009D5E64"/>
    <w:rsid w:val="009D71DC"/>
    <w:rsid w:val="009E41B7"/>
    <w:rsid w:val="009F313E"/>
    <w:rsid w:val="009F52A0"/>
    <w:rsid w:val="009F6A1B"/>
    <w:rsid w:val="009F78FF"/>
    <w:rsid w:val="00A06426"/>
    <w:rsid w:val="00A071ED"/>
    <w:rsid w:val="00A10C06"/>
    <w:rsid w:val="00A11AC9"/>
    <w:rsid w:val="00A16031"/>
    <w:rsid w:val="00A174AD"/>
    <w:rsid w:val="00A341F2"/>
    <w:rsid w:val="00A37136"/>
    <w:rsid w:val="00A41340"/>
    <w:rsid w:val="00A52F9A"/>
    <w:rsid w:val="00A62C1D"/>
    <w:rsid w:val="00A65698"/>
    <w:rsid w:val="00A7767B"/>
    <w:rsid w:val="00A80004"/>
    <w:rsid w:val="00A8465B"/>
    <w:rsid w:val="00A857D7"/>
    <w:rsid w:val="00A863D6"/>
    <w:rsid w:val="00A90CB4"/>
    <w:rsid w:val="00A96367"/>
    <w:rsid w:val="00AA1D13"/>
    <w:rsid w:val="00AA577B"/>
    <w:rsid w:val="00AB193E"/>
    <w:rsid w:val="00AB3319"/>
    <w:rsid w:val="00AC401B"/>
    <w:rsid w:val="00AD4A2F"/>
    <w:rsid w:val="00AD663C"/>
    <w:rsid w:val="00AE2FD9"/>
    <w:rsid w:val="00AE3A8D"/>
    <w:rsid w:val="00AE3F2A"/>
    <w:rsid w:val="00AE4CDC"/>
    <w:rsid w:val="00AF3CEE"/>
    <w:rsid w:val="00B008FB"/>
    <w:rsid w:val="00B07F0B"/>
    <w:rsid w:val="00B10034"/>
    <w:rsid w:val="00B16E4B"/>
    <w:rsid w:val="00B259C4"/>
    <w:rsid w:val="00B27F0E"/>
    <w:rsid w:val="00B3655E"/>
    <w:rsid w:val="00B86731"/>
    <w:rsid w:val="00B93486"/>
    <w:rsid w:val="00B945A1"/>
    <w:rsid w:val="00BB2553"/>
    <w:rsid w:val="00BC42F0"/>
    <w:rsid w:val="00BC49DC"/>
    <w:rsid w:val="00BC76C3"/>
    <w:rsid w:val="00BD5256"/>
    <w:rsid w:val="00BD6A12"/>
    <w:rsid w:val="00BE50F6"/>
    <w:rsid w:val="00BF174A"/>
    <w:rsid w:val="00BF196B"/>
    <w:rsid w:val="00C00233"/>
    <w:rsid w:val="00C131BF"/>
    <w:rsid w:val="00C14FFB"/>
    <w:rsid w:val="00C1735A"/>
    <w:rsid w:val="00C31CDA"/>
    <w:rsid w:val="00C3591B"/>
    <w:rsid w:val="00C36BA8"/>
    <w:rsid w:val="00C4290F"/>
    <w:rsid w:val="00C52DB6"/>
    <w:rsid w:val="00C5331B"/>
    <w:rsid w:val="00C534FE"/>
    <w:rsid w:val="00C60BEA"/>
    <w:rsid w:val="00C66A91"/>
    <w:rsid w:val="00C71C47"/>
    <w:rsid w:val="00C760D8"/>
    <w:rsid w:val="00C8184C"/>
    <w:rsid w:val="00C855D7"/>
    <w:rsid w:val="00C86AE3"/>
    <w:rsid w:val="00C87919"/>
    <w:rsid w:val="00C94AEF"/>
    <w:rsid w:val="00CB3971"/>
    <w:rsid w:val="00CC42EB"/>
    <w:rsid w:val="00CE55B4"/>
    <w:rsid w:val="00CF4E2F"/>
    <w:rsid w:val="00CF6C42"/>
    <w:rsid w:val="00D028F3"/>
    <w:rsid w:val="00D15286"/>
    <w:rsid w:val="00D24352"/>
    <w:rsid w:val="00D3563A"/>
    <w:rsid w:val="00D36A47"/>
    <w:rsid w:val="00D62E6B"/>
    <w:rsid w:val="00D73463"/>
    <w:rsid w:val="00D74D1B"/>
    <w:rsid w:val="00D805B9"/>
    <w:rsid w:val="00D90A1E"/>
    <w:rsid w:val="00D94BCE"/>
    <w:rsid w:val="00DA290B"/>
    <w:rsid w:val="00DA5A78"/>
    <w:rsid w:val="00DB007F"/>
    <w:rsid w:val="00DB2047"/>
    <w:rsid w:val="00DB5223"/>
    <w:rsid w:val="00DB6112"/>
    <w:rsid w:val="00DC17FB"/>
    <w:rsid w:val="00DE5F63"/>
    <w:rsid w:val="00DF0832"/>
    <w:rsid w:val="00DF0B7F"/>
    <w:rsid w:val="00DF14B6"/>
    <w:rsid w:val="00DF2B81"/>
    <w:rsid w:val="00DF2E5C"/>
    <w:rsid w:val="00E028F8"/>
    <w:rsid w:val="00E0652C"/>
    <w:rsid w:val="00E10FEC"/>
    <w:rsid w:val="00E12369"/>
    <w:rsid w:val="00E2077C"/>
    <w:rsid w:val="00E22475"/>
    <w:rsid w:val="00E24E04"/>
    <w:rsid w:val="00E70469"/>
    <w:rsid w:val="00E729D1"/>
    <w:rsid w:val="00E75D1A"/>
    <w:rsid w:val="00E83A15"/>
    <w:rsid w:val="00E90901"/>
    <w:rsid w:val="00E91817"/>
    <w:rsid w:val="00EA7576"/>
    <w:rsid w:val="00EA7C07"/>
    <w:rsid w:val="00EB30C7"/>
    <w:rsid w:val="00EB4B8D"/>
    <w:rsid w:val="00EB543F"/>
    <w:rsid w:val="00ED1CDC"/>
    <w:rsid w:val="00ED61B2"/>
    <w:rsid w:val="00ED77D9"/>
    <w:rsid w:val="00EE6B3A"/>
    <w:rsid w:val="00F01A95"/>
    <w:rsid w:val="00F07561"/>
    <w:rsid w:val="00F10FF2"/>
    <w:rsid w:val="00F112FE"/>
    <w:rsid w:val="00F14106"/>
    <w:rsid w:val="00F1798D"/>
    <w:rsid w:val="00F2082F"/>
    <w:rsid w:val="00F2236B"/>
    <w:rsid w:val="00F44565"/>
    <w:rsid w:val="00F54885"/>
    <w:rsid w:val="00F56216"/>
    <w:rsid w:val="00F63508"/>
    <w:rsid w:val="00F654D6"/>
    <w:rsid w:val="00F85587"/>
    <w:rsid w:val="00F86028"/>
    <w:rsid w:val="00F90F8E"/>
    <w:rsid w:val="00FA2E5C"/>
    <w:rsid w:val="00FA6D58"/>
    <w:rsid w:val="00FB53F2"/>
    <w:rsid w:val="00FB657C"/>
    <w:rsid w:val="00FB6777"/>
    <w:rsid w:val="00FB79E2"/>
    <w:rsid w:val="00FE6D30"/>
    <w:rsid w:val="00FF47EA"/>
    <w:rsid w:val="00FF7E9A"/>
    <w:rsid w:val="01DF5C24"/>
    <w:rsid w:val="02644C0D"/>
    <w:rsid w:val="02F76F90"/>
    <w:rsid w:val="09D17441"/>
    <w:rsid w:val="0D5D13E8"/>
    <w:rsid w:val="0E4B6020"/>
    <w:rsid w:val="136B78FF"/>
    <w:rsid w:val="15436065"/>
    <w:rsid w:val="17750CBC"/>
    <w:rsid w:val="17D2439A"/>
    <w:rsid w:val="18287E1D"/>
    <w:rsid w:val="19C01A32"/>
    <w:rsid w:val="1BD6553D"/>
    <w:rsid w:val="1EF87EC0"/>
    <w:rsid w:val="219C02C4"/>
    <w:rsid w:val="27595795"/>
    <w:rsid w:val="341C5B22"/>
    <w:rsid w:val="343155AF"/>
    <w:rsid w:val="42015CB1"/>
    <w:rsid w:val="42AA5BB9"/>
    <w:rsid w:val="4343432A"/>
    <w:rsid w:val="449D0A3E"/>
    <w:rsid w:val="463D4287"/>
    <w:rsid w:val="52500E9E"/>
    <w:rsid w:val="534F55FA"/>
    <w:rsid w:val="5655645C"/>
    <w:rsid w:val="5D551A5E"/>
    <w:rsid w:val="6200468F"/>
    <w:rsid w:val="6317777C"/>
    <w:rsid w:val="6467322B"/>
    <w:rsid w:val="647937A5"/>
    <w:rsid w:val="64BB2AEF"/>
    <w:rsid w:val="677F24EB"/>
    <w:rsid w:val="77754D7F"/>
    <w:rsid w:val="79434B65"/>
    <w:rsid w:val="7BFC1355"/>
    <w:rsid w:val="7D5234B7"/>
    <w:rsid w:val="7E48641F"/>
    <w:rsid w:val="7F3C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20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annotation text"/>
    <w:basedOn w:val="1"/>
    <w:link w:val="21"/>
    <w:qFormat/>
    <w:uiPriority w:val="0"/>
    <w:pPr>
      <w:jc w:val="left"/>
    </w:pPr>
    <w:rPr>
      <w:szCs w:val="24"/>
    </w:r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2">
    <w:name w:val="page number"/>
    <w:basedOn w:val="11"/>
    <w:uiPriority w:val="0"/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5">
    <w:name w:val="页眉 字符"/>
    <w:basedOn w:val="11"/>
    <w:link w:val="7"/>
    <w:semiHidden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6"/>
    <w:semiHidden/>
    <w:qFormat/>
    <w:uiPriority w:val="99"/>
    <w:rPr>
      <w:sz w:val="18"/>
      <w:szCs w:val="18"/>
    </w:rPr>
  </w:style>
  <w:style w:type="character" w:customStyle="1" w:styleId="17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8">
    <w:name w:val="标题 3 字符"/>
    <w:basedOn w:val="11"/>
    <w:link w:val="2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文档结构图 字符"/>
    <w:basedOn w:val="11"/>
    <w:link w:val="3"/>
    <w:semiHidden/>
    <w:qFormat/>
    <w:uiPriority w:val="99"/>
    <w:rPr>
      <w:rFonts w:ascii="宋体" w:eastAsia="宋体"/>
      <w:sz w:val="18"/>
      <w:szCs w:val="18"/>
    </w:rPr>
  </w:style>
  <w:style w:type="character" w:customStyle="1" w:styleId="21">
    <w:name w:val="批注文字 字符"/>
    <w:basedOn w:val="11"/>
    <w:link w:val="4"/>
    <w:qFormat/>
    <w:uiPriority w:val="0"/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1516</Words>
  <Characters>2254</Characters>
  <Lines>11</Lines>
  <Paragraphs>3</Paragraphs>
  <TotalTime>20</TotalTime>
  <ScaleCrop>false</ScaleCrop>
  <LinksUpToDate>false</LinksUpToDate>
  <CharactersWithSpaces>2272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2021-11-28T13:01:00Z</dcterms:created>
  <dc:creator>邹懿</dc:creator>
  <cp:lastModifiedBy>夏奕</cp:lastModifiedBy>
  <dcterms:modified xsi:type="dcterms:W3CDTF">2023-12-08T13:21:14Z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AB5EC25A9C4748E8AAD0B71830D8D486_13</vt:lpwstr>
  </property>
</Properties>
</file>