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013EB" w14:textId="47D6E40B" w:rsidR="008A10D1" w:rsidRPr="008C49A5" w:rsidRDefault="005F2DC7" w:rsidP="008C49A5">
      <w:pPr>
        <w:jc w:val="center"/>
        <w:rPr>
          <w:rFonts w:ascii="Algerian" w:hAnsi="Algerian" w:cstheme="minorHAnsi"/>
          <w:b/>
          <w:bCs/>
          <w:sz w:val="36"/>
          <w:szCs w:val="36"/>
        </w:rPr>
      </w:pPr>
      <w:r w:rsidRPr="008C49A5">
        <w:rPr>
          <w:rFonts w:ascii="Algerian" w:hAnsi="Algerian" w:cstheme="minorHAnsi"/>
          <w:b/>
          <w:bCs/>
          <w:sz w:val="36"/>
          <w:szCs w:val="36"/>
        </w:rPr>
        <w:t>IDENTIFICATION OF UNDERVALUED COMPANIES</w:t>
      </w:r>
    </w:p>
    <w:p w14:paraId="3C4D722E" w14:textId="77777777" w:rsidR="00302282" w:rsidRPr="008C49A5" w:rsidRDefault="00302282" w:rsidP="008C49A5">
      <w:pPr>
        <w:jc w:val="both"/>
        <w:rPr>
          <w:rFonts w:cstheme="minorHAnsi"/>
          <w:b/>
          <w:bCs/>
        </w:rPr>
      </w:pPr>
    </w:p>
    <w:p w14:paraId="7D516894" w14:textId="77777777" w:rsidR="004B2404" w:rsidRPr="004B2404" w:rsidRDefault="004B2404" w:rsidP="008C49A5">
      <w:pPr>
        <w:jc w:val="both"/>
        <w:rPr>
          <w:rFonts w:ascii="Algerian" w:hAnsi="Algerian" w:cstheme="minorHAnsi"/>
          <w:b/>
          <w:bCs/>
        </w:rPr>
      </w:pPr>
      <w:r w:rsidRPr="004B2404">
        <w:rPr>
          <w:rFonts w:ascii="Algerian" w:hAnsi="Algerian" w:cstheme="minorHAnsi"/>
          <w:b/>
          <w:bCs/>
        </w:rPr>
        <w:t>INTRODUCTION</w:t>
      </w:r>
    </w:p>
    <w:p w14:paraId="3725E602" w14:textId="77777777" w:rsidR="004B2404" w:rsidRPr="004B2404" w:rsidRDefault="004B2404" w:rsidP="008C49A5">
      <w:pPr>
        <w:jc w:val="both"/>
        <w:rPr>
          <w:rFonts w:cstheme="minorHAnsi"/>
        </w:rPr>
      </w:pPr>
      <w:r w:rsidRPr="004B2404">
        <w:rPr>
          <w:rFonts w:cstheme="minorHAnsi"/>
        </w:rPr>
        <w:t>A company is considered undervalued when its current stock price is lower than its intrinsic value. This suggests that the stock is trading below its true worth based on fundamental financial metrics. Investors might see this as an opportunity for future gains if the company's market value aligns with its intrinsic value over time. Factors determining a company’s undervaluation include low P/E (price to earnings ratio), low P/B (price to book ratio), low PEG (price to earnings growth), high dividend relative to peers, and an increasing trend in GP (Gross Profit) and GPG (Gross Profit Growth) relative to peers. This project aims to identify 4 undervalued companies using Finviz (a popular financial visualization and analysis tool for stock market data) by examining gross profit (GP) and gross profit growth (GPG) compared to similar companies in the same sector and develop a valuation model to project the company’s true value in four years.</w:t>
      </w:r>
    </w:p>
    <w:p w14:paraId="7995DB81" w14:textId="101F673E" w:rsidR="008C49A5" w:rsidRPr="004B2404" w:rsidRDefault="004B2404" w:rsidP="008C49A5">
      <w:pPr>
        <w:spacing w:before="100" w:beforeAutospacing="1" w:after="100" w:afterAutospacing="1" w:line="240" w:lineRule="auto"/>
        <w:jc w:val="both"/>
        <w:rPr>
          <w:rFonts w:ascii="Algerian" w:eastAsia="Times New Roman" w:hAnsi="Algerian" w:cstheme="minorHAnsi"/>
          <w:b/>
          <w:bCs/>
          <w:kern w:val="0"/>
          <w14:ligatures w14:val="none"/>
        </w:rPr>
      </w:pPr>
      <w:r w:rsidRPr="004B2404">
        <w:rPr>
          <w:rFonts w:ascii="Algerian" w:eastAsia="Times New Roman" w:hAnsi="Algerian" w:cstheme="minorHAnsi"/>
          <w:b/>
          <w:bCs/>
          <w:kern w:val="0"/>
          <w14:ligatures w14:val="none"/>
        </w:rPr>
        <w:t>OBJECTIVES</w:t>
      </w:r>
    </w:p>
    <w:p w14:paraId="508175AA" w14:textId="77777777" w:rsidR="004B2404" w:rsidRPr="004B2404" w:rsidRDefault="004B2404" w:rsidP="008C49A5">
      <w:pPr>
        <w:numPr>
          <w:ilvl w:val="0"/>
          <w:numId w:val="37"/>
        </w:numPr>
        <w:spacing w:before="100" w:beforeAutospacing="1" w:after="100" w:afterAutospacing="1" w:line="240" w:lineRule="auto"/>
        <w:jc w:val="both"/>
        <w:rPr>
          <w:rFonts w:eastAsia="Times New Roman" w:cstheme="minorHAnsi"/>
          <w:kern w:val="0"/>
          <w14:ligatures w14:val="none"/>
        </w:rPr>
      </w:pPr>
      <w:r w:rsidRPr="004B2404">
        <w:rPr>
          <w:rFonts w:eastAsia="Times New Roman" w:cstheme="minorHAnsi"/>
          <w:kern w:val="0"/>
          <w14:ligatures w14:val="none"/>
        </w:rPr>
        <w:t>Conduct an analysis to identify 4 undervalued companies using Finviz by examining gross profit (GP) and gross profit growth (GPG) compared to similar companies in the same sector.</w:t>
      </w:r>
    </w:p>
    <w:p w14:paraId="6448515E" w14:textId="77777777" w:rsidR="004B2404" w:rsidRPr="008C49A5" w:rsidRDefault="004B2404" w:rsidP="008C49A5">
      <w:pPr>
        <w:numPr>
          <w:ilvl w:val="0"/>
          <w:numId w:val="37"/>
        </w:numPr>
        <w:spacing w:before="100" w:beforeAutospacing="1" w:after="100" w:afterAutospacing="1" w:line="240" w:lineRule="auto"/>
        <w:jc w:val="both"/>
        <w:rPr>
          <w:rFonts w:eastAsia="Times New Roman" w:cstheme="minorHAnsi"/>
          <w:kern w:val="0"/>
          <w14:ligatures w14:val="none"/>
        </w:rPr>
      </w:pPr>
      <w:r w:rsidRPr="004B2404">
        <w:rPr>
          <w:rFonts w:eastAsia="Times New Roman" w:cstheme="minorHAnsi"/>
          <w:kern w:val="0"/>
          <w14:ligatures w14:val="none"/>
        </w:rPr>
        <w:t>Develop a valuation model to project the future value of these companies in four years.</w:t>
      </w:r>
    </w:p>
    <w:p w14:paraId="3BD809B9" w14:textId="145A38F8" w:rsidR="004B2404" w:rsidRPr="004B2404" w:rsidRDefault="004B2404" w:rsidP="008C49A5">
      <w:pPr>
        <w:numPr>
          <w:ilvl w:val="0"/>
          <w:numId w:val="37"/>
        </w:numPr>
        <w:spacing w:before="100" w:beforeAutospacing="1" w:after="100" w:afterAutospacing="1" w:line="240" w:lineRule="auto"/>
        <w:jc w:val="both"/>
        <w:rPr>
          <w:rFonts w:eastAsia="Times New Roman" w:cstheme="minorHAnsi"/>
          <w:kern w:val="0"/>
          <w14:ligatures w14:val="none"/>
        </w:rPr>
      </w:pPr>
      <w:r w:rsidRPr="004B2404">
        <w:rPr>
          <w:rFonts w:eastAsia="Times New Roman" w:cstheme="minorHAnsi"/>
          <w:kern w:val="0"/>
          <w14:ligatures w14:val="none"/>
        </w:rPr>
        <w:t>Explain the impact of an additional variable on the company's valuation.</w:t>
      </w:r>
    </w:p>
    <w:p w14:paraId="1DBB1328" w14:textId="77777777" w:rsidR="009975A9" w:rsidRPr="008C49A5" w:rsidRDefault="009975A9" w:rsidP="008C49A5">
      <w:pPr>
        <w:jc w:val="both"/>
        <w:rPr>
          <w:rFonts w:cstheme="minorHAnsi"/>
        </w:rPr>
      </w:pPr>
    </w:p>
    <w:p w14:paraId="002F7C5D" w14:textId="77777777" w:rsidR="0019233C" w:rsidRPr="008C49A5" w:rsidRDefault="0019233C" w:rsidP="008C49A5">
      <w:pPr>
        <w:jc w:val="both"/>
        <w:rPr>
          <w:rFonts w:ascii="Algerian" w:hAnsi="Algerian" w:cstheme="minorHAnsi"/>
          <w:b/>
          <w:bCs/>
        </w:rPr>
      </w:pPr>
      <w:r w:rsidRPr="008C49A5">
        <w:rPr>
          <w:rFonts w:ascii="Algerian" w:hAnsi="Algerian" w:cstheme="minorHAnsi"/>
          <w:b/>
          <w:bCs/>
        </w:rPr>
        <w:t>FINANCIAL METRICS EXPLANATION</w:t>
      </w:r>
    </w:p>
    <w:p w14:paraId="2FADEF67" w14:textId="5E32476D" w:rsidR="0019233C" w:rsidRPr="008C49A5" w:rsidRDefault="0019233C" w:rsidP="008C49A5">
      <w:pPr>
        <w:pStyle w:val="ListParagraph"/>
        <w:numPr>
          <w:ilvl w:val="0"/>
          <w:numId w:val="40"/>
        </w:numPr>
        <w:jc w:val="both"/>
        <w:rPr>
          <w:rFonts w:cstheme="minorHAnsi"/>
        </w:rPr>
      </w:pPr>
      <w:r w:rsidRPr="008C49A5">
        <w:rPr>
          <w:rFonts w:cstheme="minorHAnsi"/>
          <w:b/>
          <w:bCs/>
        </w:rPr>
        <w:t>Market Capitalization (Market Cap):</w:t>
      </w:r>
      <w:r w:rsidRPr="008C49A5">
        <w:rPr>
          <w:rFonts w:cstheme="minorHAnsi"/>
        </w:rPr>
        <w:t xml:space="preserve"> The total market value of a company's outstanding shares</w:t>
      </w:r>
      <w:r w:rsidRPr="008C49A5">
        <w:rPr>
          <w:rFonts w:cstheme="minorHAnsi"/>
        </w:rPr>
        <w:t>.</w:t>
      </w:r>
    </w:p>
    <w:p w14:paraId="2BB17293" w14:textId="77777777" w:rsidR="008C49A5" w:rsidRPr="008C49A5" w:rsidRDefault="0019233C" w:rsidP="008C49A5">
      <w:pPr>
        <w:pStyle w:val="ListParagraph"/>
        <w:numPr>
          <w:ilvl w:val="0"/>
          <w:numId w:val="40"/>
        </w:numPr>
        <w:jc w:val="both"/>
        <w:rPr>
          <w:rFonts w:cstheme="minorHAnsi"/>
        </w:rPr>
      </w:pPr>
      <w:r w:rsidRPr="008C49A5">
        <w:rPr>
          <w:rFonts w:cstheme="minorHAnsi"/>
          <w:b/>
          <w:bCs/>
        </w:rPr>
        <w:t>Price to Book Ratio (P/B):</w:t>
      </w:r>
      <w:r w:rsidRPr="008C49A5">
        <w:rPr>
          <w:rFonts w:cstheme="minorHAnsi"/>
        </w:rPr>
        <w:t xml:space="preserve"> Measures a company’s market value relative to its book value. </w:t>
      </w:r>
    </w:p>
    <w:p w14:paraId="454810A1" w14:textId="58B17A66" w:rsidR="0019233C" w:rsidRPr="008C49A5" w:rsidRDefault="0019233C" w:rsidP="008C49A5">
      <w:pPr>
        <w:pStyle w:val="ListParagraph"/>
        <w:numPr>
          <w:ilvl w:val="0"/>
          <w:numId w:val="40"/>
        </w:numPr>
        <w:jc w:val="both"/>
        <w:rPr>
          <w:rFonts w:cstheme="minorHAnsi"/>
        </w:rPr>
      </w:pPr>
      <w:r w:rsidRPr="008C49A5">
        <w:rPr>
          <w:rFonts w:cstheme="minorHAnsi"/>
          <w:b/>
          <w:bCs/>
        </w:rPr>
        <w:t>Price to Earnings Ratio (P/E):</w:t>
      </w:r>
      <w:r w:rsidRPr="008C49A5">
        <w:rPr>
          <w:rFonts w:cstheme="minorHAnsi"/>
        </w:rPr>
        <w:t xml:space="preserve"> Indicates how much investors are willing to pay per dollar of earnings.</w:t>
      </w:r>
    </w:p>
    <w:p w14:paraId="7CCA9310" w14:textId="77777777" w:rsidR="008C49A5" w:rsidRPr="008C49A5" w:rsidRDefault="0019233C" w:rsidP="008C49A5">
      <w:pPr>
        <w:pStyle w:val="ListParagraph"/>
        <w:numPr>
          <w:ilvl w:val="0"/>
          <w:numId w:val="40"/>
        </w:numPr>
        <w:jc w:val="both"/>
        <w:rPr>
          <w:rFonts w:cstheme="minorHAnsi"/>
        </w:rPr>
      </w:pPr>
      <w:r w:rsidRPr="008C49A5">
        <w:rPr>
          <w:rFonts w:cstheme="minorHAnsi"/>
          <w:b/>
          <w:bCs/>
        </w:rPr>
        <w:t>Price to Sales Ratio (P/S):</w:t>
      </w:r>
      <w:r w:rsidRPr="008C49A5">
        <w:rPr>
          <w:rFonts w:cstheme="minorHAnsi"/>
        </w:rPr>
        <w:t xml:space="preserve"> Shows how much investors are willing to pay per dollar of sales. </w:t>
      </w:r>
    </w:p>
    <w:p w14:paraId="54309406" w14:textId="51852ADF" w:rsidR="0019233C" w:rsidRPr="008C49A5" w:rsidRDefault="0019233C" w:rsidP="008C49A5">
      <w:pPr>
        <w:pStyle w:val="ListParagraph"/>
        <w:numPr>
          <w:ilvl w:val="0"/>
          <w:numId w:val="40"/>
        </w:numPr>
        <w:jc w:val="both"/>
        <w:rPr>
          <w:rFonts w:cstheme="minorHAnsi"/>
        </w:rPr>
      </w:pPr>
      <w:r w:rsidRPr="008C49A5">
        <w:rPr>
          <w:rFonts w:cstheme="minorHAnsi"/>
          <w:b/>
          <w:bCs/>
        </w:rPr>
        <w:t>Price/Earnings to Growth Ratio (PEG):</w:t>
      </w:r>
      <w:r w:rsidRPr="008C49A5">
        <w:rPr>
          <w:rFonts w:cstheme="minorHAnsi"/>
        </w:rPr>
        <w:t xml:space="preserve"> Evaluates a company's P/E ratio relative to its earnings growth rate</w:t>
      </w:r>
    </w:p>
    <w:p w14:paraId="2BC81CA1" w14:textId="7AB9ACAE" w:rsidR="0019233C" w:rsidRPr="008C49A5" w:rsidRDefault="008C49A5" w:rsidP="008C49A5">
      <w:pPr>
        <w:pStyle w:val="ListParagraph"/>
        <w:numPr>
          <w:ilvl w:val="0"/>
          <w:numId w:val="40"/>
        </w:numPr>
        <w:jc w:val="both"/>
        <w:rPr>
          <w:rFonts w:cstheme="minorHAnsi"/>
        </w:rPr>
      </w:pPr>
      <w:r w:rsidRPr="008C49A5">
        <w:rPr>
          <w:rFonts w:cstheme="minorHAnsi"/>
          <w:b/>
          <w:bCs/>
        </w:rPr>
        <w:t>G</w:t>
      </w:r>
      <w:r w:rsidR="0019233C" w:rsidRPr="008C49A5">
        <w:rPr>
          <w:rFonts w:cstheme="minorHAnsi"/>
          <w:b/>
          <w:bCs/>
        </w:rPr>
        <w:t>ross Profit (GP):</w:t>
      </w:r>
      <w:r w:rsidR="0019233C" w:rsidRPr="008C49A5">
        <w:rPr>
          <w:rFonts w:cstheme="minorHAnsi"/>
        </w:rPr>
        <w:t xml:space="preserve"> The difference between revenue and the cost of goods sold (COGS)</w:t>
      </w:r>
      <w:r w:rsidR="0019233C" w:rsidRPr="008C49A5">
        <w:rPr>
          <w:rFonts w:cstheme="minorHAnsi"/>
        </w:rPr>
        <w:t xml:space="preserve"> or calculated by “Total Revenue * (Gross Margin / 100)</w:t>
      </w:r>
      <w:r w:rsidR="003E263A" w:rsidRPr="008C49A5">
        <w:rPr>
          <w:rFonts w:cstheme="minorHAnsi"/>
        </w:rPr>
        <w:t>”</w:t>
      </w:r>
    </w:p>
    <w:p w14:paraId="3ACF9F5D" w14:textId="759505F3" w:rsidR="0019233C" w:rsidRPr="008C49A5" w:rsidRDefault="0019233C" w:rsidP="008C49A5">
      <w:pPr>
        <w:pStyle w:val="ListParagraph"/>
        <w:numPr>
          <w:ilvl w:val="0"/>
          <w:numId w:val="40"/>
        </w:numPr>
        <w:jc w:val="both"/>
        <w:rPr>
          <w:rFonts w:cstheme="minorHAnsi"/>
        </w:rPr>
      </w:pPr>
      <w:r w:rsidRPr="008C49A5">
        <w:rPr>
          <w:rFonts w:cstheme="minorHAnsi"/>
          <w:b/>
          <w:bCs/>
        </w:rPr>
        <w:t>Gross Profit Growth (GPG):</w:t>
      </w:r>
      <w:r w:rsidRPr="008C49A5">
        <w:rPr>
          <w:rFonts w:cstheme="minorHAnsi"/>
        </w:rPr>
        <w:t xml:space="preserve"> The percentage increase in gross profit over a specific period. </w:t>
      </w:r>
      <w:r w:rsidRPr="008C49A5">
        <w:rPr>
          <w:rFonts w:cstheme="minorHAnsi"/>
        </w:rPr>
        <w:t>It is calculated by “((</w:t>
      </w:r>
      <w:r w:rsidRPr="008C49A5">
        <w:rPr>
          <w:rFonts w:cstheme="minorHAnsi"/>
        </w:rPr>
        <w:t>Current GP</w:t>
      </w:r>
      <w:r w:rsidRPr="008C49A5">
        <w:rPr>
          <w:rFonts w:cstheme="minorHAnsi"/>
        </w:rPr>
        <w:t xml:space="preserve"> </w:t>
      </w:r>
      <w:r w:rsidRPr="008C49A5">
        <w:rPr>
          <w:rFonts w:cstheme="minorHAnsi"/>
        </w:rPr>
        <w:t>−</w:t>
      </w:r>
      <w:r w:rsidRPr="008C49A5">
        <w:rPr>
          <w:rFonts w:cstheme="minorHAnsi"/>
        </w:rPr>
        <w:t xml:space="preserve"> </w:t>
      </w:r>
      <w:r w:rsidRPr="008C49A5">
        <w:rPr>
          <w:rFonts w:cstheme="minorHAnsi"/>
        </w:rPr>
        <w:t xml:space="preserve">Previous </w:t>
      </w:r>
      <w:r w:rsidRPr="008C49A5">
        <w:rPr>
          <w:rFonts w:cstheme="minorHAnsi"/>
        </w:rPr>
        <w:t>GP)/ Previous GP) * 100</w:t>
      </w:r>
    </w:p>
    <w:p w14:paraId="7C5E92AD" w14:textId="77777777" w:rsidR="004B2404" w:rsidRDefault="004B2404" w:rsidP="008C49A5">
      <w:pPr>
        <w:jc w:val="both"/>
        <w:rPr>
          <w:rFonts w:cstheme="minorHAnsi"/>
          <w:b/>
          <w:bCs/>
        </w:rPr>
      </w:pPr>
    </w:p>
    <w:p w14:paraId="3EF286E0" w14:textId="77777777" w:rsidR="008C49A5" w:rsidRDefault="008C49A5" w:rsidP="008C49A5">
      <w:pPr>
        <w:jc w:val="both"/>
        <w:rPr>
          <w:rFonts w:cstheme="minorHAnsi"/>
          <w:b/>
          <w:bCs/>
        </w:rPr>
      </w:pPr>
    </w:p>
    <w:p w14:paraId="4FB7A0F9" w14:textId="77777777" w:rsidR="008C49A5" w:rsidRPr="008C49A5" w:rsidRDefault="008C49A5" w:rsidP="008C49A5">
      <w:pPr>
        <w:jc w:val="both"/>
        <w:rPr>
          <w:rFonts w:cstheme="minorHAnsi"/>
          <w:b/>
          <w:bCs/>
        </w:rPr>
      </w:pPr>
    </w:p>
    <w:p w14:paraId="3946585D" w14:textId="77777777" w:rsidR="0019233C" w:rsidRPr="008C49A5" w:rsidRDefault="0019233C" w:rsidP="008C49A5">
      <w:pPr>
        <w:jc w:val="both"/>
        <w:rPr>
          <w:rFonts w:cstheme="minorHAnsi"/>
          <w:b/>
          <w:bCs/>
        </w:rPr>
      </w:pPr>
    </w:p>
    <w:p w14:paraId="030E73F5" w14:textId="7CF352FD" w:rsidR="0019233C" w:rsidRPr="008C49A5" w:rsidRDefault="0019233C" w:rsidP="008C49A5">
      <w:pPr>
        <w:jc w:val="both"/>
        <w:rPr>
          <w:rFonts w:ascii="Algerian" w:hAnsi="Algerian" w:cstheme="minorHAnsi"/>
          <w:b/>
          <w:bCs/>
        </w:rPr>
      </w:pPr>
      <w:r w:rsidRPr="008C49A5">
        <w:rPr>
          <w:rFonts w:ascii="Algerian" w:hAnsi="Algerian" w:cstheme="minorHAnsi"/>
          <w:b/>
          <w:bCs/>
        </w:rPr>
        <w:t>DATA COLLECTION</w:t>
      </w:r>
    </w:p>
    <w:p w14:paraId="501C9770" w14:textId="77777777" w:rsidR="008C49A5" w:rsidRPr="008C49A5" w:rsidRDefault="004B2404" w:rsidP="008C49A5">
      <w:pPr>
        <w:tabs>
          <w:tab w:val="num" w:pos="720"/>
        </w:tabs>
        <w:jc w:val="both"/>
        <w:rPr>
          <w:rFonts w:cstheme="minorHAnsi"/>
        </w:rPr>
      </w:pPr>
      <w:r w:rsidRPr="008C49A5">
        <w:rPr>
          <w:rFonts w:cstheme="minorHAnsi"/>
        </w:rPr>
        <w:lastRenderedPageBreak/>
        <w:t>Using Finviz, data for undervalued companies were collected by navigating the screener and setting filters to meet the conditions identifying a company as undervalued. The company data collected included Gross Profit, Gross Profit Growth, Market Capitalization, P/E, P/S, Total Revenue, and Gross Margin. Similar data for other companies in the same sector were collected and compared. This was done for four companies in four different sectors by comparing the chosen company with its peers.</w:t>
      </w:r>
      <w:r w:rsidRPr="008C49A5">
        <w:rPr>
          <w:rFonts w:cstheme="minorHAnsi"/>
        </w:rPr>
        <w:t xml:space="preserve"> </w:t>
      </w:r>
      <w:r w:rsidR="003E263A" w:rsidRPr="008C49A5">
        <w:rPr>
          <w:rFonts w:cstheme="minorHAnsi"/>
        </w:rPr>
        <w:t>Conditions set to identify the undervalued companies</w:t>
      </w:r>
      <w:r w:rsidRPr="008C49A5">
        <w:rPr>
          <w:rFonts w:cstheme="minorHAnsi"/>
        </w:rPr>
        <w:t>:</w:t>
      </w:r>
    </w:p>
    <w:p w14:paraId="767589BA" w14:textId="108EC4B2" w:rsidR="008C49A5" w:rsidRPr="008C49A5" w:rsidRDefault="008C49A5" w:rsidP="008C49A5">
      <w:pPr>
        <w:pStyle w:val="ListParagraph"/>
        <w:numPr>
          <w:ilvl w:val="0"/>
          <w:numId w:val="3"/>
        </w:numPr>
        <w:tabs>
          <w:tab w:val="num" w:pos="720"/>
        </w:tabs>
        <w:jc w:val="both"/>
        <w:rPr>
          <w:rFonts w:cstheme="minorHAnsi"/>
        </w:rPr>
      </w:pPr>
      <w:r w:rsidRPr="008C49A5">
        <w:rPr>
          <w:rFonts w:cstheme="minorHAnsi"/>
        </w:rPr>
        <w:t>Market Capitalization: based on mid-sized (below $200Bn)</w:t>
      </w:r>
    </w:p>
    <w:p w14:paraId="1631A048" w14:textId="7D2999F4" w:rsidR="008C49A5" w:rsidRPr="008C49A5" w:rsidRDefault="008C49A5" w:rsidP="008C49A5">
      <w:pPr>
        <w:pStyle w:val="ListParagraph"/>
        <w:numPr>
          <w:ilvl w:val="0"/>
          <w:numId w:val="3"/>
        </w:numPr>
        <w:tabs>
          <w:tab w:val="num" w:pos="720"/>
        </w:tabs>
        <w:jc w:val="both"/>
        <w:rPr>
          <w:rFonts w:cstheme="minorHAnsi"/>
        </w:rPr>
      </w:pPr>
      <w:r w:rsidRPr="008C49A5">
        <w:rPr>
          <w:rFonts w:cstheme="minorHAnsi"/>
        </w:rPr>
        <w:t>Sectors: Four different sectors were chosen (Technology, Real Estate, Financial, Communication Services)</w:t>
      </w:r>
    </w:p>
    <w:p w14:paraId="08DE9971" w14:textId="2C0D16E3" w:rsidR="008C49A5" w:rsidRPr="008C49A5" w:rsidRDefault="008C49A5" w:rsidP="008C49A5">
      <w:pPr>
        <w:pStyle w:val="ListParagraph"/>
        <w:numPr>
          <w:ilvl w:val="0"/>
          <w:numId w:val="3"/>
        </w:numPr>
        <w:tabs>
          <w:tab w:val="num" w:pos="720"/>
        </w:tabs>
        <w:jc w:val="both"/>
        <w:rPr>
          <w:rFonts w:cstheme="minorHAnsi"/>
        </w:rPr>
      </w:pPr>
      <w:r w:rsidRPr="008C49A5">
        <w:rPr>
          <w:rFonts w:cstheme="minorHAnsi"/>
        </w:rPr>
        <w:t>P/E (Price to earnings ratio): Low (less than 15)</w:t>
      </w:r>
    </w:p>
    <w:p w14:paraId="5EB128C4" w14:textId="79BFB57D" w:rsidR="008C49A5" w:rsidRPr="008C49A5" w:rsidRDefault="008C49A5" w:rsidP="008C49A5">
      <w:pPr>
        <w:pStyle w:val="ListParagraph"/>
        <w:numPr>
          <w:ilvl w:val="0"/>
          <w:numId w:val="3"/>
        </w:numPr>
        <w:tabs>
          <w:tab w:val="num" w:pos="720"/>
        </w:tabs>
        <w:jc w:val="both"/>
        <w:rPr>
          <w:rFonts w:cstheme="minorHAnsi"/>
        </w:rPr>
      </w:pPr>
      <w:r w:rsidRPr="008C49A5">
        <w:rPr>
          <w:rFonts w:cstheme="minorHAnsi"/>
        </w:rPr>
        <w:t>P/B (Price to book ratio): Low (under 2)</w:t>
      </w:r>
    </w:p>
    <w:p w14:paraId="4D75C131" w14:textId="12BEFAC0" w:rsidR="008C49A5" w:rsidRPr="008C49A5" w:rsidRDefault="008C49A5" w:rsidP="008C49A5">
      <w:pPr>
        <w:pStyle w:val="ListParagraph"/>
        <w:numPr>
          <w:ilvl w:val="0"/>
          <w:numId w:val="3"/>
        </w:numPr>
        <w:tabs>
          <w:tab w:val="num" w:pos="720"/>
        </w:tabs>
        <w:jc w:val="both"/>
        <w:rPr>
          <w:rFonts w:cstheme="minorHAnsi"/>
        </w:rPr>
      </w:pPr>
      <w:r w:rsidRPr="008C49A5">
        <w:rPr>
          <w:rFonts w:cstheme="minorHAnsi"/>
        </w:rPr>
        <w:t>PEG (Price/Earnings to growth ratio): Low (less than 1)</w:t>
      </w:r>
    </w:p>
    <w:p w14:paraId="39815469" w14:textId="3ABCD07C" w:rsidR="008C49A5" w:rsidRPr="008C49A5" w:rsidRDefault="008C49A5" w:rsidP="008C49A5">
      <w:pPr>
        <w:pStyle w:val="ListParagraph"/>
        <w:numPr>
          <w:ilvl w:val="0"/>
          <w:numId w:val="3"/>
        </w:numPr>
        <w:tabs>
          <w:tab w:val="num" w:pos="720"/>
        </w:tabs>
        <w:jc w:val="both"/>
        <w:rPr>
          <w:rFonts w:cstheme="minorHAnsi"/>
        </w:rPr>
      </w:pPr>
      <w:r w:rsidRPr="008C49A5">
        <w:rPr>
          <w:rFonts w:cstheme="minorHAnsi"/>
        </w:rPr>
        <w:t>Country: Mostly USA (United States of America) and Global</w:t>
      </w:r>
    </w:p>
    <w:p w14:paraId="29471082" w14:textId="7A93BBF9" w:rsidR="004B2404" w:rsidRPr="008C49A5" w:rsidRDefault="008C49A5" w:rsidP="008C49A5">
      <w:pPr>
        <w:pStyle w:val="ListParagraph"/>
        <w:numPr>
          <w:ilvl w:val="0"/>
          <w:numId w:val="3"/>
        </w:numPr>
        <w:tabs>
          <w:tab w:val="num" w:pos="720"/>
        </w:tabs>
        <w:jc w:val="both"/>
        <w:rPr>
          <w:rFonts w:cstheme="minorHAnsi"/>
        </w:rPr>
      </w:pPr>
      <w:r w:rsidRPr="008C49A5">
        <w:rPr>
          <w:rFonts w:cstheme="minorHAnsi"/>
        </w:rPr>
        <w:t>P/S (Price to sales ratio): Low (under 2)</w:t>
      </w:r>
    </w:p>
    <w:p w14:paraId="5BEC896E" w14:textId="12089D75" w:rsidR="003E263A" w:rsidRDefault="003E263A" w:rsidP="008C49A5">
      <w:pPr>
        <w:tabs>
          <w:tab w:val="num" w:pos="720"/>
        </w:tabs>
        <w:jc w:val="both"/>
        <w:rPr>
          <w:rFonts w:cstheme="minorHAnsi"/>
          <w:b/>
          <w:bCs/>
          <w:i/>
          <w:iCs/>
        </w:rPr>
      </w:pPr>
      <w:r w:rsidRPr="008C49A5">
        <w:rPr>
          <w:rFonts w:cstheme="minorHAnsi"/>
          <w:b/>
          <w:bCs/>
          <w:i/>
          <w:iCs/>
        </w:rPr>
        <w:t xml:space="preserve">NOTE: Most cases, the Gross Profit and Gross Profit Growth were not given so it was calculated in the Spreadsheet using their formulas stated above. </w:t>
      </w:r>
    </w:p>
    <w:p w14:paraId="52AA6A49" w14:textId="7575A98E" w:rsidR="001032B1" w:rsidRDefault="004A4B76" w:rsidP="008C49A5">
      <w:pPr>
        <w:tabs>
          <w:tab w:val="num" w:pos="720"/>
        </w:tabs>
        <w:jc w:val="both"/>
        <w:rPr>
          <w:rFonts w:cstheme="minorHAnsi"/>
          <w:b/>
          <w:bCs/>
        </w:rPr>
      </w:pPr>
      <w:r w:rsidRPr="004A4B76">
        <w:rPr>
          <w:rFonts w:cstheme="minorHAnsi"/>
          <w:b/>
          <w:bCs/>
        </w:rPr>
        <w:t xml:space="preserve">LINK TO THE SPREADSHEET: </w:t>
      </w:r>
    </w:p>
    <w:p w14:paraId="5C16BC29" w14:textId="19D68C08" w:rsidR="004A4B76" w:rsidRDefault="004A4B76" w:rsidP="008C49A5">
      <w:pPr>
        <w:tabs>
          <w:tab w:val="num" w:pos="720"/>
        </w:tabs>
        <w:jc w:val="both"/>
        <w:rPr>
          <w:rFonts w:cstheme="minorHAnsi"/>
          <w:b/>
          <w:bCs/>
        </w:rPr>
      </w:pPr>
      <w:hyperlink r:id="rId5" w:history="1">
        <w:r w:rsidRPr="006F705D">
          <w:rPr>
            <w:rStyle w:val="Hyperlink"/>
            <w:rFonts w:cstheme="minorHAnsi"/>
            <w:b/>
            <w:bCs/>
          </w:rPr>
          <w:t>https://docs.google.com/spreadsheets/d/1AE97NSz8QySysd-DHn-P4VrcXg-E8IW4/edit?usp=sharing&amp;ouid=100121937455263932238&amp;rtpof=true&amp;sd=true</w:t>
        </w:r>
      </w:hyperlink>
    </w:p>
    <w:p w14:paraId="49E30E90" w14:textId="77777777" w:rsidR="004A4B76" w:rsidRDefault="004A4B76" w:rsidP="008C49A5">
      <w:pPr>
        <w:tabs>
          <w:tab w:val="num" w:pos="720"/>
        </w:tabs>
        <w:jc w:val="both"/>
        <w:rPr>
          <w:rFonts w:cstheme="minorHAnsi"/>
          <w:b/>
          <w:bCs/>
        </w:rPr>
      </w:pPr>
    </w:p>
    <w:p w14:paraId="36A2CC9E" w14:textId="77777777" w:rsidR="004A4B76" w:rsidRDefault="004A4B76" w:rsidP="008C49A5">
      <w:pPr>
        <w:tabs>
          <w:tab w:val="num" w:pos="720"/>
        </w:tabs>
        <w:jc w:val="both"/>
        <w:rPr>
          <w:rFonts w:cstheme="minorHAnsi"/>
          <w:b/>
          <w:bCs/>
        </w:rPr>
      </w:pPr>
    </w:p>
    <w:p w14:paraId="2AAB712D" w14:textId="77777777" w:rsidR="004A4B76" w:rsidRPr="004A4B76" w:rsidRDefault="004A4B76" w:rsidP="008C49A5">
      <w:pPr>
        <w:tabs>
          <w:tab w:val="num" w:pos="720"/>
        </w:tabs>
        <w:jc w:val="both"/>
        <w:rPr>
          <w:rFonts w:cstheme="minorHAnsi"/>
          <w:b/>
          <w:bCs/>
        </w:rPr>
      </w:pPr>
    </w:p>
    <w:p w14:paraId="2CBAFE1C" w14:textId="3761CC29" w:rsidR="003E263A" w:rsidRPr="008C49A5" w:rsidRDefault="00C119EC" w:rsidP="008C49A5">
      <w:pPr>
        <w:tabs>
          <w:tab w:val="num" w:pos="720"/>
        </w:tabs>
        <w:jc w:val="both"/>
        <w:rPr>
          <w:rFonts w:ascii="Algerian" w:hAnsi="Algerian" w:cstheme="minorHAnsi"/>
          <w:b/>
          <w:bCs/>
        </w:rPr>
      </w:pPr>
      <w:r w:rsidRPr="008C49A5">
        <w:rPr>
          <w:rFonts w:ascii="Algerian" w:hAnsi="Algerian" w:cstheme="minorHAnsi"/>
          <w:b/>
          <w:bCs/>
        </w:rPr>
        <w:t>COMPANY ANALYSIS</w:t>
      </w:r>
    </w:p>
    <w:p w14:paraId="133DE6C5" w14:textId="13057679" w:rsidR="000673FB" w:rsidRPr="008C49A5" w:rsidRDefault="000673FB" w:rsidP="008C49A5">
      <w:pPr>
        <w:tabs>
          <w:tab w:val="num" w:pos="720"/>
        </w:tabs>
        <w:jc w:val="both"/>
        <w:rPr>
          <w:rFonts w:ascii="Algerian" w:hAnsi="Algerian" w:cstheme="minorHAnsi"/>
          <w:b/>
          <w:bCs/>
        </w:rPr>
      </w:pPr>
      <w:r w:rsidRPr="008C49A5">
        <w:rPr>
          <w:rFonts w:ascii="Algerian" w:hAnsi="Algerian" w:cstheme="minorHAnsi"/>
          <w:b/>
          <w:bCs/>
        </w:rPr>
        <w:t>COMP</w:t>
      </w:r>
      <w:r w:rsidR="001032B1" w:rsidRPr="008C49A5">
        <w:rPr>
          <w:rFonts w:ascii="Algerian" w:hAnsi="Algerian" w:cstheme="minorHAnsi"/>
          <w:b/>
          <w:bCs/>
        </w:rPr>
        <w:t>ARATIVE ANALYSIS</w:t>
      </w:r>
    </w:p>
    <w:p w14:paraId="538BB2A0" w14:textId="74391793" w:rsidR="001032B1" w:rsidRPr="008C49A5" w:rsidRDefault="001A2E37" w:rsidP="008C49A5">
      <w:pPr>
        <w:tabs>
          <w:tab w:val="num" w:pos="720"/>
        </w:tabs>
        <w:jc w:val="both"/>
        <w:rPr>
          <w:rFonts w:cstheme="minorHAnsi"/>
        </w:rPr>
      </w:pPr>
      <w:r w:rsidRPr="008C49A5">
        <w:rPr>
          <w:rFonts w:cstheme="minorHAnsi"/>
          <w:b/>
          <w:bCs/>
        </w:rPr>
        <w:t>(</w:t>
      </w:r>
      <w:r w:rsidR="00C119EC" w:rsidRPr="008C49A5">
        <w:rPr>
          <w:rFonts w:cstheme="minorHAnsi"/>
          <w:b/>
          <w:bCs/>
        </w:rPr>
        <w:t>1) Chosen</w:t>
      </w:r>
      <w:r w:rsidR="006E4472" w:rsidRPr="008C49A5">
        <w:rPr>
          <w:rFonts w:cstheme="minorHAnsi"/>
          <w:b/>
          <w:bCs/>
        </w:rPr>
        <w:t xml:space="preserve"> Company: </w:t>
      </w:r>
      <w:r w:rsidR="006E4472" w:rsidRPr="009E588C">
        <w:rPr>
          <w:rFonts w:cstheme="minorHAnsi"/>
          <w:b/>
          <w:bCs/>
        </w:rPr>
        <w:t>Atlanticus Holdings Corp</w:t>
      </w:r>
    </w:p>
    <w:tbl>
      <w:tblPr>
        <w:tblStyle w:val="TableGrid"/>
        <w:tblW w:w="9895" w:type="dxa"/>
        <w:tblLayout w:type="fixed"/>
        <w:tblLook w:val="04A0" w:firstRow="1" w:lastRow="0" w:firstColumn="1" w:lastColumn="0" w:noHBand="0" w:noVBand="1"/>
      </w:tblPr>
      <w:tblGrid>
        <w:gridCol w:w="1208"/>
        <w:gridCol w:w="1307"/>
        <w:gridCol w:w="1057"/>
        <w:gridCol w:w="1013"/>
        <w:gridCol w:w="990"/>
        <w:gridCol w:w="990"/>
        <w:gridCol w:w="720"/>
        <w:gridCol w:w="720"/>
        <w:gridCol w:w="900"/>
        <w:gridCol w:w="990"/>
      </w:tblGrid>
      <w:tr w:rsidR="001032B1" w:rsidRPr="008C49A5" w14:paraId="270BF023" w14:textId="77777777" w:rsidTr="001032B1">
        <w:trPr>
          <w:trHeight w:val="290"/>
        </w:trPr>
        <w:tc>
          <w:tcPr>
            <w:tcW w:w="1208" w:type="dxa"/>
            <w:noWrap/>
            <w:hideMark/>
          </w:tcPr>
          <w:p w14:paraId="5E5001BC" w14:textId="77777777" w:rsidR="001032B1" w:rsidRPr="008C49A5" w:rsidRDefault="001032B1" w:rsidP="008C49A5">
            <w:pPr>
              <w:tabs>
                <w:tab w:val="num" w:pos="720"/>
              </w:tabs>
              <w:jc w:val="both"/>
              <w:rPr>
                <w:rFonts w:cstheme="minorHAnsi"/>
              </w:rPr>
            </w:pPr>
            <w:r w:rsidRPr="008C49A5">
              <w:rPr>
                <w:rFonts w:cstheme="minorHAnsi"/>
              </w:rPr>
              <w:t>FINANCIAL SECTOR</w:t>
            </w:r>
          </w:p>
        </w:tc>
        <w:tc>
          <w:tcPr>
            <w:tcW w:w="1307" w:type="dxa"/>
            <w:noWrap/>
            <w:hideMark/>
          </w:tcPr>
          <w:p w14:paraId="3E5F73D8" w14:textId="77777777" w:rsidR="001032B1" w:rsidRPr="008C49A5" w:rsidRDefault="001032B1" w:rsidP="008C49A5">
            <w:pPr>
              <w:tabs>
                <w:tab w:val="num" w:pos="720"/>
              </w:tabs>
              <w:jc w:val="both"/>
              <w:rPr>
                <w:rFonts w:cstheme="minorHAnsi"/>
              </w:rPr>
            </w:pPr>
          </w:p>
        </w:tc>
        <w:tc>
          <w:tcPr>
            <w:tcW w:w="1057" w:type="dxa"/>
            <w:noWrap/>
            <w:hideMark/>
          </w:tcPr>
          <w:p w14:paraId="6EEC0A8B" w14:textId="77777777" w:rsidR="001032B1" w:rsidRPr="008C49A5" w:rsidRDefault="001032B1" w:rsidP="008C49A5">
            <w:pPr>
              <w:tabs>
                <w:tab w:val="num" w:pos="720"/>
              </w:tabs>
              <w:jc w:val="both"/>
              <w:rPr>
                <w:rFonts w:cstheme="minorHAnsi"/>
              </w:rPr>
            </w:pPr>
          </w:p>
        </w:tc>
        <w:tc>
          <w:tcPr>
            <w:tcW w:w="1013" w:type="dxa"/>
            <w:noWrap/>
            <w:hideMark/>
          </w:tcPr>
          <w:p w14:paraId="705D77F8" w14:textId="77777777" w:rsidR="001032B1" w:rsidRPr="008C49A5" w:rsidRDefault="001032B1" w:rsidP="008C49A5">
            <w:pPr>
              <w:tabs>
                <w:tab w:val="num" w:pos="720"/>
              </w:tabs>
              <w:jc w:val="both"/>
              <w:rPr>
                <w:rFonts w:cstheme="minorHAnsi"/>
              </w:rPr>
            </w:pPr>
          </w:p>
        </w:tc>
        <w:tc>
          <w:tcPr>
            <w:tcW w:w="990" w:type="dxa"/>
            <w:noWrap/>
            <w:hideMark/>
          </w:tcPr>
          <w:p w14:paraId="4CD06080" w14:textId="77777777" w:rsidR="001032B1" w:rsidRPr="008C49A5" w:rsidRDefault="001032B1" w:rsidP="008C49A5">
            <w:pPr>
              <w:tabs>
                <w:tab w:val="num" w:pos="720"/>
              </w:tabs>
              <w:jc w:val="both"/>
              <w:rPr>
                <w:rFonts w:cstheme="minorHAnsi"/>
              </w:rPr>
            </w:pPr>
          </w:p>
        </w:tc>
        <w:tc>
          <w:tcPr>
            <w:tcW w:w="990" w:type="dxa"/>
            <w:noWrap/>
            <w:hideMark/>
          </w:tcPr>
          <w:p w14:paraId="7112EEA1" w14:textId="77777777" w:rsidR="001032B1" w:rsidRPr="008C49A5" w:rsidRDefault="001032B1" w:rsidP="008C49A5">
            <w:pPr>
              <w:tabs>
                <w:tab w:val="num" w:pos="720"/>
              </w:tabs>
              <w:jc w:val="both"/>
              <w:rPr>
                <w:rFonts w:cstheme="minorHAnsi"/>
              </w:rPr>
            </w:pPr>
          </w:p>
        </w:tc>
        <w:tc>
          <w:tcPr>
            <w:tcW w:w="720" w:type="dxa"/>
            <w:noWrap/>
            <w:hideMark/>
          </w:tcPr>
          <w:p w14:paraId="7E599869" w14:textId="77777777" w:rsidR="001032B1" w:rsidRPr="008C49A5" w:rsidRDefault="001032B1" w:rsidP="008C49A5">
            <w:pPr>
              <w:tabs>
                <w:tab w:val="num" w:pos="720"/>
              </w:tabs>
              <w:jc w:val="both"/>
              <w:rPr>
                <w:rFonts w:cstheme="minorHAnsi"/>
              </w:rPr>
            </w:pPr>
          </w:p>
        </w:tc>
        <w:tc>
          <w:tcPr>
            <w:tcW w:w="720" w:type="dxa"/>
            <w:noWrap/>
            <w:hideMark/>
          </w:tcPr>
          <w:p w14:paraId="4E38F326" w14:textId="77777777" w:rsidR="001032B1" w:rsidRPr="008C49A5" w:rsidRDefault="001032B1" w:rsidP="008C49A5">
            <w:pPr>
              <w:tabs>
                <w:tab w:val="num" w:pos="720"/>
              </w:tabs>
              <w:jc w:val="both"/>
              <w:rPr>
                <w:rFonts w:cstheme="minorHAnsi"/>
              </w:rPr>
            </w:pPr>
          </w:p>
        </w:tc>
        <w:tc>
          <w:tcPr>
            <w:tcW w:w="900" w:type="dxa"/>
            <w:noWrap/>
            <w:hideMark/>
          </w:tcPr>
          <w:p w14:paraId="79D4CE25" w14:textId="77777777" w:rsidR="001032B1" w:rsidRPr="008C49A5" w:rsidRDefault="001032B1" w:rsidP="008C49A5">
            <w:pPr>
              <w:tabs>
                <w:tab w:val="num" w:pos="720"/>
              </w:tabs>
              <w:jc w:val="both"/>
              <w:rPr>
                <w:rFonts w:cstheme="minorHAnsi"/>
              </w:rPr>
            </w:pPr>
          </w:p>
        </w:tc>
        <w:tc>
          <w:tcPr>
            <w:tcW w:w="990" w:type="dxa"/>
            <w:noWrap/>
            <w:hideMark/>
          </w:tcPr>
          <w:p w14:paraId="73F55D5F" w14:textId="77777777" w:rsidR="001032B1" w:rsidRPr="008C49A5" w:rsidRDefault="001032B1" w:rsidP="008C49A5">
            <w:pPr>
              <w:tabs>
                <w:tab w:val="num" w:pos="720"/>
              </w:tabs>
              <w:jc w:val="both"/>
              <w:rPr>
                <w:rFonts w:cstheme="minorHAnsi"/>
              </w:rPr>
            </w:pPr>
          </w:p>
        </w:tc>
      </w:tr>
      <w:tr w:rsidR="001032B1" w:rsidRPr="008C49A5" w14:paraId="2628D779" w14:textId="77777777" w:rsidTr="001032B1">
        <w:trPr>
          <w:trHeight w:val="870"/>
        </w:trPr>
        <w:tc>
          <w:tcPr>
            <w:tcW w:w="1208" w:type="dxa"/>
            <w:noWrap/>
            <w:hideMark/>
          </w:tcPr>
          <w:p w14:paraId="1008347A" w14:textId="77777777" w:rsidR="001032B1" w:rsidRPr="008C49A5" w:rsidRDefault="001032B1" w:rsidP="008C49A5">
            <w:pPr>
              <w:tabs>
                <w:tab w:val="num" w:pos="720"/>
              </w:tabs>
              <w:jc w:val="both"/>
              <w:rPr>
                <w:rFonts w:cstheme="minorHAnsi"/>
              </w:rPr>
            </w:pPr>
            <w:r w:rsidRPr="008C49A5">
              <w:rPr>
                <w:rFonts w:cstheme="minorHAnsi"/>
              </w:rPr>
              <w:t>Company Name</w:t>
            </w:r>
          </w:p>
        </w:tc>
        <w:tc>
          <w:tcPr>
            <w:tcW w:w="1307" w:type="dxa"/>
            <w:noWrap/>
            <w:hideMark/>
          </w:tcPr>
          <w:p w14:paraId="25D1E3EB" w14:textId="77777777" w:rsidR="001032B1" w:rsidRPr="008C49A5" w:rsidRDefault="001032B1" w:rsidP="008C49A5">
            <w:pPr>
              <w:tabs>
                <w:tab w:val="num" w:pos="720"/>
              </w:tabs>
              <w:jc w:val="both"/>
              <w:rPr>
                <w:rFonts w:cstheme="minorHAnsi"/>
              </w:rPr>
            </w:pPr>
            <w:r w:rsidRPr="008C49A5">
              <w:rPr>
                <w:rFonts w:cstheme="minorHAnsi"/>
              </w:rPr>
              <w:t>Sector</w:t>
            </w:r>
          </w:p>
        </w:tc>
        <w:tc>
          <w:tcPr>
            <w:tcW w:w="1057" w:type="dxa"/>
            <w:noWrap/>
            <w:hideMark/>
          </w:tcPr>
          <w:p w14:paraId="00217FAC" w14:textId="1E23BEBB" w:rsidR="001032B1" w:rsidRPr="008C49A5" w:rsidRDefault="001032B1" w:rsidP="008C49A5">
            <w:pPr>
              <w:tabs>
                <w:tab w:val="num" w:pos="720"/>
              </w:tabs>
              <w:jc w:val="both"/>
              <w:rPr>
                <w:rFonts w:cstheme="minorHAnsi"/>
              </w:rPr>
            </w:pPr>
            <w:r w:rsidRPr="008C49A5">
              <w:rPr>
                <w:rFonts w:cstheme="minorHAnsi"/>
              </w:rPr>
              <w:t xml:space="preserve">Market </w:t>
            </w:r>
            <w:r w:rsidRPr="008C49A5">
              <w:rPr>
                <w:rFonts w:cstheme="minorHAnsi"/>
              </w:rPr>
              <w:t>Capitalization (</w:t>
            </w:r>
            <w:r w:rsidRPr="008C49A5">
              <w:rPr>
                <w:rFonts w:cstheme="minorHAnsi"/>
              </w:rPr>
              <w:t xml:space="preserve">$) </w:t>
            </w:r>
          </w:p>
        </w:tc>
        <w:tc>
          <w:tcPr>
            <w:tcW w:w="1013" w:type="dxa"/>
            <w:hideMark/>
          </w:tcPr>
          <w:p w14:paraId="202BA009" w14:textId="343BAA7A" w:rsidR="001032B1" w:rsidRPr="008C49A5" w:rsidRDefault="001032B1" w:rsidP="008C49A5">
            <w:pPr>
              <w:tabs>
                <w:tab w:val="num" w:pos="720"/>
              </w:tabs>
              <w:jc w:val="both"/>
              <w:rPr>
                <w:rFonts w:cstheme="minorHAnsi"/>
              </w:rPr>
            </w:pPr>
            <w:r w:rsidRPr="008C49A5">
              <w:rPr>
                <w:rFonts w:cstheme="minorHAnsi"/>
              </w:rPr>
              <w:t xml:space="preserve">Price to </w:t>
            </w:r>
            <w:r w:rsidRPr="008C49A5">
              <w:rPr>
                <w:rFonts w:cstheme="minorHAnsi"/>
              </w:rPr>
              <w:t>Earnings</w:t>
            </w:r>
            <w:r w:rsidRPr="008C49A5">
              <w:rPr>
                <w:rFonts w:cstheme="minorHAnsi"/>
              </w:rPr>
              <w:t xml:space="preserve"> Ratio (P/E)</w:t>
            </w:r>
          </w:p>
        </w:tc>
        <w:tc>
          <w:tcPr>
            <w:tcW w:w="990" w:type="dxa"/>
            <w:hideMark/>
          </w:tcPr>
          <w:p w14:paraId="44A735BD" w14:textId="77777777" w:rsidR="001032B1" w:rsidRPr="008C49A5" w:rsidRDefault="001032B1" w:rsidP="008C49A5">
            <w:pPr>
              <w:tabs>
                <w:tab w:val="num" w:pos="720"/>
              </w:tabs>
              <w:jc w:val="both"/>
              <w:rPr>
                <w:rFonts w:cstheme="minorHAnsi"/>
              </w:rPr>
            </w:pPr>
            <w:r w:rsidRPr="008C49A5">
              <w:rPr>
                <w:rFonts w:cstheme="minorHAnsi"/>
              </w:rPr>
              <w:t>Price to Sales Ratio (P/S)</w:t>
            </w:r>
          </w:p>
        </w:tc>
        <w:tc>
          <w:tcPr>
            <w:tcW w:w="990" w:type="dxa"/>
            <w:noWrap/>
            <w:hideMark/>
          </w:tcPr>
          <w:p w14:paraId="5DC56BED" w14:textId="77777777" w:rsidR="001032B1" w:rsidRPr="008C49A5" w:rsidRDefault="001032B1" w:rsidP="008C49A5">
            <w:pPr>
              <w:tabs>
                <w:tab w:val="num" w:pos="720"/>
              </w:tabs>
              <w:jc w:val="both"/>
              <w:rPr>
                <w:rFonts w:cstheme="minorHAnsi"/>
              </w:rPr>
            </w:pPr>
            <w:r w:rsidRPr="008C49A5">
              <w:rPr>
                <w:rFonts w:cstheme="minorHAnsi"/>
              </w:rPr>
              <w:t>Total Revenue ($M)</w:t>
            </w:r>
          </w:p>
        </w:tc>
        <w:tc>
          <w:tcPr>
            <w:tcW w:w="720" w:type="dxa"/>
            <w:noWrap/>
            <w:hideMark/>
          </w:tcPr>
          <w:p w14:paraId="79CA3BE2" w14:textId="77777777" w:rsidR="001032B1" w:rsidRPr="008C49A5" w:rsidRDefault="001032B1" w:rsidP="008C49A5">
            <w:pPr>
              <w:tabs>
                <w:tab w:val="num" w:pos="720"/>
              </w:tabs>
              <w:jc w:val="both"/>
              <w:rPr>
                <w:rFonts w:cstheme="minorHAnsi"/>
              </w:rPr>
            </w:pPr>
            <w:r w:rsidRPr="008C49A5">
              <w:rPr>
                <w:rFonts w:cstheme="minorHAnsi"/>
              </w:rPr>
              <w:t>Gross Margin (%)</w:t>
            </w:r>
          </w:p>
        </w:tc>
        <w:tc>
          <w:tcPr>
            <w:tcW w:w="720" w:type="dxa"/>
            <w:noWrap/>
            <w:hideMark/>
          </w:tcPr>
          <w:p w14:paraId="5E6856AB" w14:textId="77777777" w:rsidR="001032B1" w:rsidRPr="008C49A5" w:rsidRDefault="001032B1" w:rsidP="008C49A5">
            <w:pPr>
              <w:tabs>
                <w:tab w:val="num" w:pos="720"/>
              </w:tabs>
              <w:jc w:val="both"/>
              <w:rPr>
                <w:rFonts w:cstheme="minorHAnsi"/>
              </w:rPr>
            </w:pPr>
            <w:r w:rsidRPr="008C49A5">
              <w:rPr>
                <w:rFonts w:cstheme="minorHAnsi"/>
              </w:rPr>
              <w:t>Gross Profit (GP) ($M)</w:t>
            </w:r>
          </w:p>
        </w:tc>
        <w:tc>
          <w:tcPr>
            <w:tcW w:w="900" w:type="dxa"/>
            <w:noWrap/>
            <w:hideMark/>
          </w:tcPr>
          <w:p w14:paraId="63D1CAD7" w14:textId="77777777" w:rsidR="001032B1" w:rsidRPr="008C49A5" w:rsidRDefault="001032B1" w:rsidP="008C49A5">
            <w:pPr>
              <w:tabs>
                <w:tab w:val="num" w:pos="720"/>
              </w:tabs>
              <w:jc w:val="both"/>
              <w:rPr>
                <w:rFonts w:cstheme="minorHAnsi"/>
              </w:rPr>
            </w:pPr>
            <w:r w:rsidRPr="008C49A5">
              <w:rPr>
                <w:rFonts w:cstheme="minorHAnsi"/>
              </w:rPr>
              <w:t>Previous GP ($M)</w:t>
            </w:r>
          </w:p>
        </w:tc>
        <w:tc>
          <w:tcPr>
            <w:tcW w:w="990" w:type="dxa"/>
            <w:hideMark/>
          </w:tcPr>
          <w:p w14:paraId="025F8974" w14:textId="77777777" w:rsidR="001032B1" w:rsidRPr="008C49A5" w:rsidRDefault="001032B1" w:rsidP="008C49A5">
            <w:pPr>
              <w:tabs>
                <w:tab w:val="num" w:pos="720"/>
              </w:tabs>
              <w:jc w:val="both"/>
              <w:rPr>
                <w:rFonts w:cstheme="minorHAnsi"/>
              </w:rPr>
            </w:pPr>
            <w:r w:rsidRPr="008C49A5">
              <w:rPr>
                <w:rFonts w:cstheme="minorHAnsi"/>
              </w:rPr>
              <w:t>Gross Profit Growth (GPG) (%)</w:t>
            </w:r>
          </w:p>
        </w:tc>
      </w:tr>
      <w:tr w:rsidR="001032B1" w:rsidRPr="008C49A5" w14:paraId="454C538D" w14:textId="77777777" w:rsidTr="001032B1">
        <w:trPr>
          <w:trHeight w:val="290"/>
        </w:trPr>
        <w:tc>
          <w:tcPr>
            <w:tcW w:w="1208" w:type="dxa"/>
            <w:noWrap/>
            <w:hideMark/>
          </w:tcPr>
          <w:p w14:paraId="07DEF682" w14:textId="77777777" w:rsidR="001032B1" w:rsidRPr="008C49A5" w:rsidRDefault="001032B1" w:rsidP="008C49A5">
            <w:pPr>
              <w:tabs>
                <w:tab w:val="num" w:pos="720"/>
              </w:tabs>
              <w:jc w:val="both"/>
              <w:rPr>
                <w:rFonts w:cstheme="minorHAnsi"/>
              </w:rPr>
            </w:pPr>
            <w:r w:rsidRPr="008C49A5">
              <w:rPr>
                <w:rFonts w:cstheme="minorHAnsi"/>
              </w:rPr>
              <w:t>Atlanticus Holdings Corp</w:t>
            </w:r>
          </w:p>
        </w:tc>
        <w:tc>
          <w:tcPr>
            <w:tcW w:w="1307" w:type="dxa"/>
            <w:noWrap/>
            <w:hideMark/>
          </w:tcPr>
          <w:p w14:paraId="0FA39087" w14:textId="77777777" w:rsidR="001032B1" w:rsidRPr="008C49A5" w:rsidRDefault="001032B1" w:rsidP="008C49A5">
            <w:pPr>
              <w:tabs>
                <w:tab w:val="num" w:pos="720"/>
              </w:tabs>
              <w:jc w:val="both"/>
              <w:rPr>
                <w:rFonts w:cstheme="minorHAnsi"/>
              </w:rPr>
            </w:pPr>
            <w:r w:rsidRPr="008C49A5">
              <w:rPr>
                <w:rFonts w:cstheme="minorHAnsi"/>
              </w:rPr>
              <w:t>FINANCIAL</w:t>
            </w:r>
          </w:p>
        </w:tc>
        <w:tc>
          <w:tcPr>
            <w:tcW w:w="1057" w:type="dxa"/>
            <w:noWrap/>
            <w:hideMark/>
          </w:tcPr>
          <w:p w14:paraId="10EC4078" w14:textId="77777777" w:rsidR="001032B1" w:rsidRPr="008C49A5" w:rsidRDefault="001032B1" w:rsidP="008C49A5">
            <w:pPr>
              <w:tabs>
                <w:tab w:val="num" w:pos="720"/>
              </w:tabs>
              <w:jc w:val="both"/>
              <w:rPr>
                <w:rFonts w:cstheme="minorHAnsi"/>
              </w:rPr>
            </w:pPr>
            <w:r w:rsidRPr="008C49A5">
              <w:rPr>
                <w:rFonts w:cstheme="minorHAnsi"/>
              </w:rPr>
              <w:t>492.58M</w:t>
            </w:r>
          </w:p>
        </w:tc>
        <w:tc>
          <w:tcPr>
            <w:tcW w:w="1013" w:type="dxa"/>
            <w:noWrap/>
            <w:hideMark/>
          </w:tcPr>
          <w:p w14:paraId="527202A0" w14:textId="77777777" w:rsidR="001032B1" w:rsidRPr="008C49A5" w:rsidRDefault="001032B1" w:rsidP="008C49A5">
            <w:pPr>
              <w:tabs>
                <w:tab w:val="num" w:pos="720"/>
              </w:tabs>
              <w:jc w:val="both"/>
              <w:rPr>
                <w:rFonts w:cstheme="minorHAnsi"/>
              </w:rPr>
            </w:pPr>
            <w:r w:rsidRPr="008C49A5">
              <w:rPr>
                <w:rFonts w:cstheme="minorHAnsi"/>
              </w:rPr>
              <w:t>7.84</w:t>
            </w:r>
          </w:p>
        </w:tc>
        <w:tc>
          <w:tcPr>
            <w:tcW w:w="990" w:type="dxa"/>
            <w:noWrap/>
            <w:hideMark/>
          </w:tcPr>
          <w:p w14:paraId="7ADB9574" w14:textId="77777777" w:rsidR="001032B1" w:rsidRPr="008C49A5" w:rsidRDefault="001032B1" w:rsidP="008C49A5">
            <w:pPr>
              <w:tabs>
                <w:tab w:val="num" w:pos="720"/>
              </w:tabs>
              <w:jc w:val="both"/>
              <w:rPr>
                <w:rFonts w:cstheme="minorHAnsi"/>
              </w:rPr>
            </w:pPr>
            <w:r w:rsidRPr="008C49A5">
              <w:rPr>
                <w:rFonts w:cstheme="minorHAnsi"/>
              </w:rPr>
              <w:t>0.47</w:t>
            </w:r>
          </w:p>
        </w:tc>
        <w:tc>
          <w:tcPr>
            <w:tcW w:w="990" w:type="dxa"/>
            <w:noWrap/>
            <w:hideMark/>
          </w:tcPr>
          <w:p w14:paraId="55018178" w14:textId="77777777" w:rsidR="001032B1" w:rsidRPr="008C49A5" w:rsidRDefault="001032B1" w:rsidP="008C49A5">
            <w:pPr>
              <w:tabs>
                <w:tab w:val="num" w:pos="720"/>
              </w:tabs>
              <w:jc w:val="both"/>
              <w:rPr>
                <w:rFonts w:cstheme="minorHAnsi"/>
              </w:rPr>
            </w:pPr>
            <w:r w:rsidRPr="008C49A5">
              <w:rPr>
                <w:rFonts w:cstheme="minorHAnsi"/>
              </w:rPr>
              <w:t>1,185.54</w:t>
            </w:r>
          </w:p>
        </w:tc>
        <w:tc>
          <w:tcPr>
            <w:tcW w:w="720" w:type="dxa"/>
            <w:noWrap/>
            <w:hideMark/>
          </w:tcPr>
          <w:p w14:paraId="35D0BC06" w14:textId="77777777" w:rsidR="001032B1" w:rsidRPr="008C49A5" w:rsidRDefault="001032B1" w:rsidP="008C49A5">
            <w:pPr>
              <w:tabs>
                <w:tab w:val="num" w:pos="720"/>
              </w:tabs>
              <w:jc w:val="both"/>
              <w:rPr>
                <w:rFonts w:cstheme="minorHAnsi"/>
              </w:rPr>
            </w:pPr>
            <w:r w:rsidRPr="008C49A5">
              <w:rPr>
                <w:rFonts w:cstheme="minorHAnsi"/>
              </w:rPr>
              <w:t>91.07</w:t>
            </w:r>
          </w:p>
        </w:tc>
        <w:tc>
          <w:tcPr>
            <w:tcW w:w="720" w:type="dxa"/>
            <w:noWrap/>
            <w:hideMark/>
          </w:tcPr>
          <w:p w14:paraId="23CA0D72" w14:textId="77777777" w:rsidR="001032B1" w:rsidRPr="008C49A5" w:rsidRDefault="001032B1" w:rsidP="008C49A5">
            <w:pPr>
              <w:tabs>
                <w:tab w:val="num" w:pos="720"/>
              </w:tabs>
              <w:jc w:val="both"/>
              <w:rPr>
                <w:rFonts w:cstheme="minorHAnsi"/>
              </w:rPr>
            </w:pPr>
            <w:r w:rsidRPr="008C49A5">
              <w:rPr>
                <w:rFonts w:cstheme="minorHAnsi"/>
              </w:rPr>
              <w:t>1,079.67</w:t>
            </w:r>
          </w:p>
        </w:tc>
        <w:tc>
          <w:tcPr>
            <w:tcW w:w="900" w:type="dxa"/>
            <w:noWrap/>
            <w:hideMark/>
          </w:tcPr>
          <w:p w14:paraId="19728B09" w14:textId="77777777" w:rsidR="001032B1" w:rsidRPr="008C49A5" w:rsidRDefault="001032B1" w:rsidP="008C49A5">
            <w:pPr>
              <w:tabs>
                <w:tab w:val="num" w:pos="720"/>
              </w:tabs>
              <w:jc w:val="both"/>
              <w:rPr>
                <w:rFonts w:cstheme="minorHAnsi"/>
              </w:rPr>
            </w:pPr>
            <w:r w:rsidRPr="008C49A5">
              <w:rPr>
                <w:rFonts w:cstheme="minorHAnsi"/>
              </w:rPr>
              <w:t>1,052.65</w:t>
            </w:r>
          </w:p>
        </w:tc>
        <w:tc>
          <w:tcPr>
            <w:tcW w:w="990" w:type="dxa"/>
            <w:noWrap/>
            <w:hideMark/>
          </w:tcPr>
          <w:p w14:paraId="5A4C89B9" w14:textId="77777777" w:rsidR="001032B1" w:rsidRPr="008C49A5" w:rsidRDefault="001032B1" w:rsidP="008C49A5">
            <w:pPr>
              <w:tabs>
                <w:tab w:val="num" w:pos="720"/>
              </w:tabs>
              <w:jc w:val="both"/>
              <w:rPr>
                <w:rFonts w:cstheme="minorHAnsi"/>
              </w:rPr>
            </w:pPr>
            <w:r w:rsidRPr="008C49A5">
              <w:rPr>
                <w:rFonts w:cstheme="minorHAnsi"/>
              </w:rPr>
              <w:t>2.57</w:t>
            </w:r>
          </w:p>
        </w:tc>
      </w:tr>
      <w:tr w:rsidR="001032B1" w:rsidRPr="008C49A5" w14:paraId="0B0C8A8C" w14:textId="77777777" w:rsidTr="001032B1">
        <w:trPr>
          <w:trHeight w:val="290"/>
        </w:trPr>
        <w:tc>
          <w:tcPr>
            <w:tcW w:w="1208" w:type="dxa"/>
            <w:noWrap/>
            <w:hideMark/>
          </w:tcPr>
          <w:p w14:paraId="1C2E1DCB" w14:textId="77777777" w:rsidR="001032B1" w:rsidRPr="008C49A5" w:rsidRDefault="001032B1" w:rsidP="008C49A5">
            <w:pPr>
              <w:tabs>
                <w:tab w:val="num" w:pos="720"/>
              </w:tabs>
              <w:jc w:val="both"/>
              <w:rPr>
                <w:rFonts w:cstheme="minorHAnsi"/>
              </w:rPr>
            </w:pPr>
            <w:r w:rsidRPr="008C49A5">
              <w:rPr>
                <w:rFonts w:cstheme="minorHAnsi"/>
              </w:rPr>
              <w:t>EZCorp, Inc. (sector peer)</w:t>
            </w:r>
          </w:p>
        </w:tc>
        <w:tc>
          <w:tcPr>
            <w:tcW w:w="1307" w:type="dxa"/>
            <w:noWrap/>
            <w:hideMark/>
          </w:tcPr>
          <w:p w14:paraId="3039B8DB" w14:textId="77777777" w:rsidR="001032B1" w:rsidRPr="008C49A5" w:rsidRDefault="001032B1" w:rsidP="008C49A5">
            <w:pPr>
              <w:tabs>
                <w:tab w:val="num" w:pos="720"/>
              </w:tabs>
              <w:jc w:val="both"/>
              <w:rPr>
                <w:rFonts w:cstheme="minorHAnsi"/>
              </w:rPr>
            </w:pPr>
            <w:r w:rsidRPr="008C49A5">
              <w:rPr>
                <w:rFonts w:cstheme="minorHAnsi"/>
              </w:rPr>
              <w:t>FINANCIAL</w:t>
            </w:r>
          </w:p>
        </w:tc>
        <w:tc>
          <w:tcPr>
            <w:tcW w:w="1057" w:type="dxa"/>
            <w:noWrap/>
            <w:hideMark/>
          </w:tcPr>
          <w:p w14:paraId="317587AB" w14:textId="77777777" w:rsidR="001032B1" w:rsidRPr="008C49A5" w:rsidRDefault="001032B1" w:rsidP="008C49A5">
            <w:pPr>
              <w:tabs>
                <w:tab w:val="num" w:pos="720"/>
              </w:tabs>
              <w:jc w:val="both"/>
              <w:rPr>
                <w:rFonts w:cstheme="minorHAnsi"/>
              </w:rPr>
            </w:pPr>
            <w:r w:rsidRPr="008C49A5">
              <w:rPr>
                <w:rFonts w:cstheme="minorHAnsi"/>
              </w:rPr>
              <w:t>549.42M</w:t>
            </w:r>
          </w:p>
        </w:tc>
        <w:tc>
          <w:tcPr>
            <w:tcW w:w="1013" w:type="dxa"/>
            <w:noWrap/>
            <w:hideMark/>
          </w:tcPr>
          <w:p w14:paraId="04E28A5C" w14:textId="77777777" w:rsidR="001032B1" w:rsidRPr="008C49A5" w:rsidRDefault="001032B1" w:rsidP="008C49A5">
            <w:pPr>
              <w:tabs>
                <w:tab w:val="num" w:pos="720"/>
              </w:tabs>
              <w:jc w:val="both"/>
              <w:rPr>
                <w:rFonts w:cstheme="minorHAnsi"/>
              </w:rPr>
            </w:pPr>
            <w:r w:rsidRPr="008C49A5">
              <w:rPr>
                <w:rFonts w:cstheme="minorHAnsi"/>
              </w:rPr>
              <w:t>9.98</w:t>
            </w:r>
          </w:p>
        </w:tc>
        <w:tc>
          <w:tcPr>
            <w:tcW w:w="990" w:type="dxa"/>
            <w:noWrap/>
            <w:hideMark/>
          </w:tcPr>
          <w:p w14:paraId="01E299BB" w14:textId="77777777" w:rsidR="001032B1" w:rsidRPr="008C49A5" w:rsidRDefault="001032B1" w:rsidP="008C49A5">
            <w:pPr>
              <w:tabs>
                <w:tab w:val="num" w:pos="720"/>
              </w:tabs>
              <w:jc w:val="both"/>
              <w:rPr>
                <w:rFonts w:cstheme="minorHAnsi"/>
              </w:rPr>
            </w:pPr>
            <w:r w:rsidRPr="008C49A5">
              <w:rPr>
                <w:rFonts w:cstheme="minorHAnsi"/>
              </w:rPr>
              <w:t>0.85</w:t>
            </w:r>
          </w:p>
        </w:tc>
        <w:tc>
          <w:tcPr>
            <w:tcW w:w="990" w:type="dxa"/>
            <w:noWrap/>
            <w:hideMark/>
          </w:tcPr>
          <w:p w14:paraId="6D305826" w14:textId="77777777" w:rsidR="001032B1" w:rsidRPr="008C49A5" w:rsidRDefault="001032B1" w:rsidP="008C49A5">
            <w:pPr>
              <w:tabs>
                <w:tab w:val="num" w:pos="720"/>
              </w:tabs>
              <w:jc w:val="both"/>
              <w:rPr>
                <w:rFonts w:cstheme="minorHAnsi"/>
              </w:rPr>
            </w:pPr>
            <w:r w:rsidRPr="008C49A5">
              <w:rPr>
                <w:rFonts w:cstheme="minorHAnsi"/>
              </w:rPr>
              <w:t>1,111.92</w:t>
            </w:r>
          </w:p>
        </w:tc>
        <w:tc>
          <w:tcPr>
            <w:tcW w:w="720" w:type="dxa"/>
            <w:noWrap/>
            <w:hideMark/>
          </w:tcPr>
          <w:p w14:paraId="72B29301" w14:textId="77777777" w:rsidR="001032B1" w:rsidRPr="008C49A5" w:rsidRDefault="001032B1" w:rsidP="008C49A5">
            <w:pPr>
              <w:tabs>
                <w:tab w:val="num" w:pos="720"/>
              </w:tabs>
              <w:jc w:val="both"/>
              <w:rPr>
                <w:rFonts w:cstheme="minorHAnsi"/>
              </w:rPr>
            </w:pPr>
            <w:r w:rsidRPr="008C49A5">
              <w:rPr>
                <w:rFonts w:cstheme="minorHAnsi"/>
              </w:rPr>
              <w:t>55.34</w:t>
            </w:r>
          </w:p>
        </w:tc>
        <w:tc>
          <w:tcPr>
            <w:tcW w:w="720" w:type="dxa"/>
            <w:noWrap/>
            <w:hideMark/>
          </w:tcPr>
          <w:p w14:paraId="47BE7F2E" w14:textId="77777777" w:rsidR="001032B1" w:rsidRPr="008C49A5" w:rsidRDefault="001032B1" w:rsidP="008C49A5">
            <w:pPr>
              <w:tabs>
                <w:tab w:val="num" w:pos="720"/>
              </w:tabs>
              <w:jc w:val="both"/>
              <w:rPr>
                <w:rFonts w:cstheme="minorHAnsi"/>
              </w:rPr>
            </w:pPr>
            <w:r w:rsidRPr="008C49A5">
              <w:rPr>
                <w:rFonts w:cstheme="minorHAnsi"/>
              </w:rPr>
              <w:t>615.36</w:t>
            </w:r>
          </w:p>
        </w:tc>
        <w:tc>
          <w:tcPr>
            <w:tcW w:w="900" w:type="dxa"/>
            <w:noWrap/>
            <w:hideMark/>
          </w:tcPr>
          <w:p w14:paraId="7221DE40" w14:textId="77777777" w:rsidR="001032B1" w:rsidRPr="008C49A5" w:rsidRDefault="001032B1" w:rsidP="008C49A5">
            <w:pPr>
              <w:tabs>
                <w:tab w:val="num" w:pos="720"/>
              </w:tabs>
              <w:jc w:val="both"/>
              <w:rPr>
                <w:rFonts w:cstheme="minorHAnsi"/>
              </w:rPr>
            </w:pPr>
            <w:r w:rsidRPr="008C49A5">
              <w:rPr>
                <w:rFonts w:cstheme="minorHAnsi"/>
              </w:rPr>
              <w:t>577.71</w:t>
            </w:r>
          </w:p>
        </w:tc>
        <w:tc>
          <w:tcPr>
            <w:tcW w:w="990" w:type="dxa"/>
            <w:noWrap/>
            <w:hideMark/>
          </w:tcPr>
          <w:p w14:paraId="18583596" w14:textId="77777777" w:rsidR="001032B1" w:rsidRPr="008C49A5" w:rsidRDefault="001032B1" w:rsidP="008C49A5">
            <w:pPr>
              <w:tabs>
                <w:tab w:val="num" w:pos="720"/>
              </w:tabs>
              <w:jc w:val="both"/>
              <w:rPr>
                <w:rFonts w:cstheme="minorHAnsi"/>
              </w:rPr>
            </w:pPr>
            <w:r w:rsidRPr="008C49A5">
              <w:rPr>
                <w:rFonts w:cstheme="minorHAnsi"/>
              </w:rPr>
              <w:t>6.52</w:t>
            </w:r>
          </w:p>
        </w:tc>
      </w:tr>
      <w:tr w:rsidR="001032B1" w:rsidRPr="008C49A5" w14:paraId="4CE18FBF" w14:textId="77777777" w:rsidTr="001032B1">
        <w:trPr>
          <w:trHeight w:val="290"/>
        </w:trPr>
        <w:tc>
          <w:tcPr>
            <w:tcW w:w="1208" w:type="dxa"/>
            <w:noWrap/>
            <w:hideMark/>
          </w:tcPr>
          <w:p w14:paraId="7B2BC22C" w14:textId="77777777" w:rsidR="001032B1" w:rsidRPr="008C49A5" w:rsidRDefault="001032B1" w:rsidP="008C49A5">
            <w:pPr>
              <w:tabs>
                <w:tab w:val="num" w:pos="720"/>
              </w:tabs>
              <w:jc w:val="both"/>
              <w:rPr>
                <w:rFonts w:cstheme="minorHAnsi"/>
              </w:rPr>
            </w:pPr>
            <w:r w:rsidRPr="008C49A5">
              <w:rPr>
                <w:rFonts w:cstheme="minorHAnsi"/>
              </w:rPr>
              <w:lastRenderedPageBreak/>
              <w:t>Oppenheimer Holdings Inc (sector peer)</w:t>
            </w:r>
          </w:p>
        </w:tc>
        <w:tc>
          <w:tcPr>
            <w:tcW w:w="1307" w:type="dxa"/>
            <w:noWrap/>
            <w:hideMark/>
          </w:tcPr>
          <w:p w14:paraId="58C4FD5B" w14:textId="77777777" w:rsidR="001032B1" w:rsidRPr="008C49A5" w:rsidRDefault="001032B1" w:rsidP="008C49A5">
            <w:pPr>
              <w:tabs>
                <w:tab w:val="num" w:pos="720"/>
              </w:tabs>
              <w:jc w:val="both"/>
              <w:rPr>
                <w:rFonts w:cstheme="minorHAnsi"/>
              </w:rPr>
            </w:pPr>
            <w:r w:rsidRPr="008C49A5">
              <w:rPr>
                <w:rFonts w:cstheme="minorHAnsi"/>
              </w:rPr>
              <w:t>FINANCIAL</w:t>
            </w:r>
          </w:p>
        </w:tc>
        <w:tc>
          <w:tcPr>
            <w:tcW w:w="1057" w:type="dxa"/>
            <w:noWrap/>
            <w:hideMark/>
          </w:tcPr>
          <w:p w14:paraId="18387124" w14:textId="77777777" w:rsidR="001032B1" w:rsidRPr="008C49A5" w:rsidRDefault="001032B1" w:rsidP="008C49A5">
            <w:pPr>
              <w:tabs>
                <w:tab w:val="num" w:pos="720"/>
              </w:tabs>
              <w:jc w:val="both"/>
              <w:rPr>
                <w:rFonts w:cstheme="minorHAnsi"/>
              </w:rPr>
            </w:pPr>
            <w:r w:rsidRPr="008C49A5">
              <w:rPr>
                <w:rFonts w:cstheme="minorHAnsi"/>
              </w:rPr>
              <w:t>551.07M</w:t>
            </w:r>
          </w:p>
        </w:tc>
        <w:tc>
          <w:tcPr>
            <w:tcW w:w="1013" w:type="dxa"/>
            <w:noWrap/>
            <w:hideMark/>
          </w:tcPr>
          <w:p w14:paraId="485926D4" w14:textId="77777777" w:rsidR="001032B1" w:rsidRPr="008C49A5" w:rsidRDefault="001032B1" w:rsidP="008C49A5">
            <w:pPr>
              <w:tabs>
                <w:tab w:val="num" w:pos="720"/>
              </w:tabs>
              <w:jc w:val="both"/>
              <w:rPr>
                <w:rFonts w:cstheme="minorHAnsi"/>
              </w:rPr>
            </w:pPr>
            <w:r w:rsidRPr="008C49A5">
              <w:rPr>
                <w:rFonts w:cstheme="minorHAnsi"/>
              </w:rPr>
              <w:t>14.39</w:t>
            </w:r>
          </w:p>
        </w:tc>
        <w:tc>
          <w:tcPr>
            <w:tcW w:w="990" w:type="dxa"/>
            <w:noWrap/>
            <w:hideMark/>
          </w:tcPr>
          <w:p w14:paraId="1F336810" w14:textId="77777777" w:rsidR="001032B1" w:rsidRPr="008C49A5" w:rsidRDefault="001032B1" w:rsidP="008C49A5">
            <w:pPr>
              <w:tabs>
                <w:tab w:val="num" w:pos="720"/>
              </w:tabs>
              <w:jc w:val="both"/>
              <w:rPr>
                <w:rFonts w:cstheme="minorHAnsi"/>
              </w:rPr>
            </w:pPr>
            <w:r w:rsidRPr="008C49A5">
              <w:rPr>
                <w:rFonts w:cstheme="minorHAnsi"/>
              </w:rPr>
              <w:t>0.34</w:t>
            </w:r>
          </w:p>
        </w:tc>
        <w:tc>
          <w:tcPr>
            <w:tcW w:w="990" w:type="dxa"/>
            <w:noWrap/>
            <w:hideMark/>
          </w:tcPr>
          <w:p w14:paraId="122BE783" w14:textId="77777777" w:rsidR="001032B1" w:rsidRPr="008C49A5" w:rsidRDefault="001032B1" w:rsidP="008C49A5">
            <w:pPr>
              <w:tabs>
                <w:tab w:val="num" w:pos="720"/>
              </w:tabs>
              <w:jc w:val="both"/>
              <w:rPr>
                <w:rFonts w:cstheme="minorHAnsi"/>
              </w:rPr>
            </w:pPr>
            <w:r w:rsidRPr="008C49A5">
              <w:rPr>
                <w:rFonts w:cstheme="minorHAnsi"/>
              </w:rPr>
              <w:t>1,280.28</w:t>
            </w:r>
          </w:p>
        </w:tc>
        <w:tc>
          <w:tcPr>
            <w:tcW w:w="720" w:type="dxa"/>
            <w:noWrap/>
            <w:hideMark/>
          </w:tcPr>
          <w:p w14:paraId="395D3AD2" w14:textId="77777777" w:rsidR="001032B1" w:rsidRPr="008C49A5" w:rsidRDefault="001032B1" w:rsidP="008C49A5">
            <w:pPr>
              <w:tabs>
                <w:tab w:val="num" w:pos="720"/>
              </w:tabs>
              <w:jc w:val="both"/>
              <w:rPr>
                <w:rFonts w:cstheme="minorHAnsi"/>
              </w:rPr>
            </w:pPr>
            <w:r w:rsidRPr="008C49A5">
              <w:rPr>
                <w:rFonts w:cstheme="minorHAnsi"/>
              </w:rPr>
              <w:t>95.14</w:t>
            </w:r>
          </w:p>
        </w:tc>
        <w:tc>
          <w:tcPr>
            <w:tcW w:w="720" w:type="dxa"/>
            <w:noWrap/>
            <w:hideMark/>
          </w:tcPr>
          <w:p w14:paraId="48A666E6" w14:textId="77777777" w:rsidR="001032B1" w:rsidRPr="008C49A5" w:rsidRDefault="001032B1" w:rsidP="008C49A5">
            <w:pPr>
              <w:tabs>
                <w:tab w:val="num" w:pos="720"/>
              </w:tabs>
              <w:jc w:val="both"/>
              <w:rPr>
                <w:rFonts w:cstheme="minorHAnsi"/>
              </w:rPr>
            </w:pPr>
            <w:r w:rsidRPr="008C49A5">
              <w:rPr>
                <w:rFonts w:cstheme="minorHAnsi"/>
              </w:rPr>
              <w:t>1,218.06</w:t>
            </w:r>
          </w:p>
        </w:tc>
        <w:tc>
          <w:tcPr>
            <w:tcW w:w="900" w:type="dxa"/>
            <w:noWrap/>
            <w:hideMark/>
          </w:tcPr>
          <w:p w14:paraId="32C672E0" w14:textId="77777777" w:rsidR="001032B1" w:rsidRPr="008C49A5" w:rsidRDefault="001032B1" w:rsidP="008C49A5">
            <w:pPr>
              <w:tabs>
                <w:tab w:val="num" w:pos="720"/>
              </w:tabs>
              <w:jc w:val="both"/>
              <w:rPr>
                <w:rFonts w:cstheme="minorHAnsi"/>
              </w:rPr>
            </w:pPr>
            <w:r w:rsidRPr="008C49A5">
              <w:rPr>
                <w:rFonts w:cstheme="minorHAnsi"/>
              </w:rPr>
              <w:t>1,185.85</w:t>
            </w:r>
          </w:p>
        </w:tc>
        <w:tc>
          <w:tcPr>
            <w:tcW w:w="990" w:type="dxa"/>
            <w:noWrap/>
            <w:hideMark/>
          </w:tcPr>
          <w:p w14:paraId="0231D5BE" w14:textId="77777777" w:rsidR="001032B1" w:rsidRPr="008C49A5" w:rsidRDefault="001032B1" w:rsidP="008C49A5">
            <w:pPr>
              <w:tabs>
                <w:tab w:val="num" w:pos="720"/>
              </w:tabs>
              <w:jc w:val="both"/>
              <w:rPr>
                <w:rFonts w:cstheme="minorHAnsi"/>
              </w:rPr>
            </w:pPr>
            <w:r w:rsidRPr="008C49A5">
              <w:rPr>
                <w:rFonts w:cstheme="minorHAnsi"/>
              </w:rPr>
              <w:t>2.72</w:t>
            </w:r>
          </w:p>
        </w:tc>
      </w:tr>
      <w:tr w:rsidR="001032B1" w:rsidRPr="008C49A5" w14:paraId="064A0453" w14:textId="77777777" w:rsidTr="001032B1">
        <w:trPr>
          <w:trHeight w:val="290"/>
        </w:trPr>
        <w:tc>
          <w:tcPr>
            <w:tcW w:w="1208" w:type="dxa"/>
            <w:noWrap/>
            <w:hideMark/>
          </w:tcPr>
          <w:p w14:paraId="0454754C" w14:textId="77777777" w:rsidR="001032B1" w:rsidRPr="008C49A5" w:rsidRDefault="001032B1" w:rsidP="008C49A5">
            <w:pPr>
              <w:tabs>
                <w:tab w:val="num" w:pos="720"/>
              </w:tabs>
              <w:jc w:val="both"/>
              <w:rPr>
                <w:rFonts w:cstheme="minorHAnsi"/>
              </w:rPr>
            </w:pPr>
            <w:r w:rsidRPr="008C49A5">
              <w:rPr>
                <w:rFonts w:cstheme="minorHAnsi"/>
              </w:rPr>
              <w:t>Fanhua Inc ADR (sector peer)</w:t>
            </w:r>
          </w:p>
        </w:tc>
        <w:tc>
          <w:tcPr>
            <w:tcW w:w="1307" w:type="dxa"/>
            <w:noWrap/>
            <w:hideMark/>
          </w:tcPr>
          <w:p w14:paraId="3724A619" w14:textId="77777777" w:rsidR="001032B1" w:rsidRPr="008C49A5" w:rsidRDefault="001032B1" w:rsidP="008C49A5">
            <w:pPr>
              <w:tabs>
                <w:tab w:val="num" w:pos="720"/>
              </w:tabs>
              <w:jc w:val="both"/>
              <w:rPr>
                <w:rFonts w:cstheme="minorHAnsi"/>
              </w:rPr>
            </w:pPr>
            <w:r w:rsidRPr="008C49A5">
              <w:rPr>
                <w:rFonts w:cstheme="minorHAnsi"/>
              </w:rPr>
              <w:t>FINANCIAL</w:t>
            </w:r>
          </w:p>
        </w:tc>
        <w:tc>
          <w:tcPr>
            <w:tcW w:w="1057" w:type="dxa"/>
            <w:noWrap/>
            <w:hideMark/>
          </w:tcPr>
          <w:p w14:paraId="1404DD7C" w14:textId="77777777" w:rsidR="001032B1" w:rsidRPr="008C49A5" w:rsidRDefault="001032B1" w:rsidP="008C49A5">
            <w:pPr>
              <w:tabs>
                <w:tab w:val="num" w:pos="720"/>
              </w:tabs>
              <w:jc w:val="both"/>
              <w:rPr>
                <w:rFonts w:cstheme="minorHAnsi"/>
              </w:rPr>
            </w:pPr>
            <w:r w:rsidRPr="008C49A5">
              <w:rPr>
                <w:rFonts w:cstheme="minorHAnsi"/>
              </w:rPr>
              <w:t>85.06M</w:t>
            </w:r>
          </w:p>
        </w:tc>
        <w:tc>
          <w:tcPr>
            <w:tcW w:w="1013" w:type="dxa"/>
            <w:noWrap/>
            <w:hideMark/>
          </w:tcPr>
          <w:p w14:paraId="19B18DB4" w14:textId="77777777" w:rsidR="001032B1" w:rsidRPr="008C49A5" w:rsidRDefault="001032B1" w:rsidP="008C49A5">
            <w:pPr>
              <w:tabs>
                <w:tab w:val="num" w:pos="720"/>
              </w:tabs>
              <w:jc w:val="both"/>
              <w:rPr>
                <w:rFonts w:cstheme="minorHAnsi"/>
              </w:rPr>
            </w:pPr>
            <w:r w:rsidRPr="008C49A5">
              <w:rPr>
                <w:rFonts w:cstheme="minorHAnsi"/>
              </w:rPr>
              <w:t>2.07</w:t>
            </w:r>
          </w:p>
        </w:tc>
        <w:tc>
          <w:tcPr>
            <w:tcW w:w="990" w:type="dxa"/>
            <w:noWrap/>
            <w:hideMark/>
          </w:tcPr>
          <w:p w14:paraId="4B95F9F2" w14:textId="77777777" w:rsidR="001032B1" w:rsidRPr="008C49A5" w:rsidRDefault="001032B1" w:rsidP="008C49A5">
            <w:pPr>
              <w:tabs>
                <w:tab w:val="num" w:pos="720"/>
              </w:tabs>
              <w:jc w:val="both"/>
              <w:rPr>
                <w:rFonts w:cstheme="minorHAnsi"/>
              </w:rPr>
            </w:pPr>
            <w:r w:rsidRPr="008C49A5">
              <w:rPr>
                <w:rFonts w:cstheme="minorHAnsi"/>
              </w:rPr>
              <w:t>0.79</w:t>
            </w:r>
          </w:p>
        </w:tc>
        <w:tc>
          <w:tcPr>
            <w:tcW w:w="990" w:type="dxa"/>
            <w:noWrap/>
            <w:hideMark/>
          </w:tcPr>
          <w:p w14:paraId="53A2A4A9" w14:textId="77777777" w:rsidR="001032B1" w:rsidRPr="008C49A5" w:rsidRDefault="001032B1" w:rsidP="008C49A5">
            <w:pPr>
              <w:tabs>
                <w:tab w:val="num" w:pos="720"/>
              </w:tabs>
              <w:jc w:val="both"/>
              <w:rPr>
                <w:rFonts w:cstheme="minorHAnsi"/>
              </w:rPr>
            </w:pPr>
            <w:r w:rsidRPr="008C49A5">
              <w:rPr>
                <w:rFonts w:cstheme="minorHAnsi"/>
              </w:rPr>
              <w:t>448.69</w:t>
            </w:r>
          </w:p>
        </w:tc>
        <w:tc>
          <w:tcPr>
            <w:tcW w:w="720" w:type="dxa"/>
            <w:noWrap/>
            <w:hideMark/>
          </w:tcPr>
          <w:p w14:paraId="2193C8E1" w14:textId="77777777" w:rsidR="001032B1" w:rsidRPr="008C49A5" w:rsidRDefault="001032B1" w:rsidP="008C49A5">
            <w:pPr>
              <w:tabs>
                <w:tab w:val="num" w:pos="720"/>
              </w:tabs>
              <w:jc w:val="both"/>
              <w:rPr>
                <w:rFonts w:cstheme="minorHAnsi"/>
              </w:rPr>
            </w:pPr>
            <w:r w:rsidRPr="008C49A5">
              <w:rPr>
                <w:rFonts w:cstheme="minorHAnsi"/>
              </w:rPr>
              <w:t>32.93</w:t>
            </w:r>
          </w:p>
        </w:tc>
        <w:tc>
          <w:tcPr>
            <w:tcW w:w="720" w:type="dxa"/>
            <w:noWrap/>
            <w:hideMark/>
          </w:tcPr>
          <w:p w14:paraId="3D8E1F47" w14:textId="77777777" w:rsidR="001032B1" w:rsidRPr="008C49A5" w:rsidRDefault="001032B1" w:rsidP="008C49A5">
            <w:pPr>
              <w:tabs>
                <w:tab w:val="num" w:pos="720"/>
              </w:tabs>
              <w:jc w:val="both"/>
              <w:rPr>
                <w:rFonts w:cstheme="minorHAnsi"/>
              </w:rPr>
            </w:pPr>
            <w:r w:rsidRPr="008C49A5">
              <w:rPr>
                <w:rFonts w:cstheme="minorHAnsi"/>
              </w:rPr>
              <w:t>147.75</w:t>
            </w:r>
          </w:p>
        </w:tc>
        <w:tc>
          <w:tcPr>
            <w:tcW w:w="900" w:type="dxa"/>
            <w:noWrap/>
            <w:hideMark/>
          </w:tcPr>
          <w:p w14:paraId="1052C1D6" w14:textId="77777777" w:rsidR="001032B1" w:rsidRPr="008C49A5" w:rsidRDefault="001032B1" w:rsidP="008C49A5">
            <w:pPr>
              <w:tabs>
                <w:tab w:val="num" w:pos="720"/>
              </w:tabs>
              <w:jc w:val="both"/>
              <w:rPr>
                <w:rFonts w:cstheme="minorHAnsi"/>
              </w:rPr>
            </w:pPr>
            <w:r w:rsidRPr="008C49A5">
              <w:rPr>
                <w:rFonts w:cstheme="minorHAnsi"/>
              </w:rPr>
              <w:t>143.52</w:t>
            </w:r>
          </w:p>
        </w:tc>
        <w:tc>
          <w:tcPr>
            <w:tcW w:w="990" w:type="dxa"/>
            <w:noWrap/>
            <w:hideMark/>
          </w:tcPr>
          <w:p w14:paraId="51E2D674" w14:textId="77777777" w:rsidR="001032B1" w:rsidRPr="008C49A5" w:rsidRDefault="001032B1" w:rsidP="008C49A5">
            <w:pPr>
              <w:tabs>
                <w:tab w:val="num" w:pos="720"/>
              </w:tabs>
              <w:jc w:val="both"/>
              <w:rPr>
                <w:rFonts w:cstheme="minorHAnsi"/>
              </w:rPr>
            </w:pPr>
            <w:r w:rsidRPr="008C49A5">
              <w:rPr>
                <w:rFonts w:cstheme="minorHAnsi"/>
              </w:rPr>
              <w:t>2.95</w:t>
            </w:r>
          </w:p>
        </w:tc>
      </w:tr>
      <w:tr w:rsidR="001032B1" w:rsidRPr="008C49A5" w14:paraId="28103B6A" w14:textId="77777777" w:rsidTr="001032B1">
        <w:trPr>
          <w:trHeight w:val="290"/>
        </w:trPr>
        <w:tc>
          <w:tcPr>
            <w:tcW w:w="1208" w:type="dxa"/>
            <w:noWrap/>
            <w:hideMark/>
          </w:tcPr>
          <w:p w14:paraId="60949202" w14:textId="77777777" w:rsidR="001032B1" w:rsidRPr="008C49A5" w:rsidRDefault="001032B1" w:rsidP="008C49A5">
            <w:pPr>
              <w:tabs>
                <w:tab w:val="num" w:pos="720"/>
              </w:tabs>
              <w:jc w:val="both"/>
              <w:rPr>
                <w:rFonts w:cstheme="minorHAnsi"/>
              </w:rPr>
            </w:pPr>
            <w:r w:rsidRPr="008C49A5">
              <w:rPr>
                <w:rFonts w:cstheme="minorHAnsi"/>
              </w:rPr>
              <w:t>SECTOR AVERAGE</w:t>
            </w:r>
          </w:p>
        </w:tc>
        <w:tc>
          <w:tcPr>
            <w:tcW w:w="1307" w:type="dxa"/>
            <w:noWrap/>
            <w:hideMark/>
          </w:tcPr>
          <w:p w14:paraId="3EB236DC" w14:textId="77777777" w:rsidR="001032B1" w:rsidRPr="008C49A5" w:rsidRDefault="001032B1" w:rsidP="008C49A5">
            <w:pPr>
              <w:tabs>
                <w:tab w:val="num" w:pos="720"/>
              </w:tabs>
              <w:jc w:val="both"/>
              <w:rPr>
                <w:rFonts w:cstheme="minorHAnsi"/>
              </w:rPr>
            </w:pPr>
          </w:p>
        </w:tc>
        <w:tc>
          <w:tcPr>
            <w:tcW w:w="1057" w:type="dxa"/>
            <w:noWrap/>
            <w:hideMark/>
          </w:tcPr>
          <w:p w14:paraId="55EF717C" w14:textId="77777777" w:rsidR="001032B1" w:rsidRPr="008C49A5" w:rsidRDefault="001032B1" w:rsidP="008C49A5">
            <w:pPr>
              <w:tabs>
                <w:tab w:val="num" w:pos="720"/>
              </w:tabs>
              <w:jc w:val="both"/>
              <w:rPr>
                <w:rFonts w:cstheme="minorHAnsi"/>
              </w:rPr>
            </w:pPr>
          </w:p>
        </w:tc>
        <w:tc>
          <w:tcPr>
            <w:tcW w:w="1013" w:type="dxa"/>
            <w:noWrap/>
            <w:hideMark/>
          </w:tcPr>
          <w:p w14:paraId="5DE17A89" w14:textId="77777777" w:rsidR="001032B1" w:rsidRPr="008C49A5" w:rsidRDefault="001032B1" w:rsidP="008C49A5">
            <w:pPr>
              <w:tabs>
                <w:tab w:val="num" w:pos="720"/>
              </w:tabs>
              <w:jc w:val="both"/>
              <w:rPr>
                <w:rFonts w:cstheme="minorHAnsi"/>
              </w:rPr>
            </w:pPr>
            <w:r w:rsidRPr="008C49A5">
              <w:rPr>
                <w:rFonts w:cstheme="minorHAnsi"/>
              </w:rPr>
              <w:t>8.57</w:t>
            </w:r>
          </w:p>
        </w:tc>
        <w:tc>
          <w:tcPr>
            <w:tcW w:w="990" w:type="dxa"/>
            <w:noWrap/>
            <w:hideMark/>
          </w:tcPr>
          <w:p w14:paraId="2E26C777" w14:textId="77777777" w:rsidR="001032B1" w:rsidRPr="008C49A5" w:rsidRDefault="001032B1" w:rsidP="008C49A5">
            <w:pPr>
              <w:tabs>
                <w:tab w:val="num" w:pos="720"/>
              </w:tabs>
              <w:jc w:val="both"/>
              <w:rPr>
                <w:rFonts w:cstheme="minorHAnsi"/>
              </w:rPr>
            </w:pPr>
            <w:r w:rsidRPr="008C49A5">
              <w:rPr>
                <w:rFonts w:cstheme="minorHAnsi"/>
              </w:rPr>
              <w:t>0.61</w:t>
            </w:r>
          </w:p>
        </w:tc>
        <w:tc>
          <w:tcPr>
            <w:tcW w:w="990" w:type="dxa"/>
            <w:noWrap/>
            <w:hideMark/>
          </w:tcPr>
          <w:p w14:paraId="20BEF713" w14:textId="77777777" w:rsidR="001032B1" w:rsidRPr="008C49A5" w:rsidRDefault="001032B1" w:rsidP="008C49A5">
            <w:pPr>
              <w:tabs>
                <w:tab w:val="num" w:pos="720"/>
              </w:tabs>
              <w:jc w:val="both"/>
              <w:rPr>
                <w:rFonts w:cstheme="minorHAnsi"/>
              </w:rPr>
            </w:pPr>
          </w:p>
        </w:tc>
        <w:tc>
          <w:tcPr>
            <w:tcW w:w="720" w:type="dxa"/>
            <w:noWrap/>
            <w:hideMark/>
          </w:tcPr>
          <w:p w14:paraId="59195B62" w14:textId="77777777" w:rsidR="001032B1" w:rsidRPr="008C49A5" w:rsidRDefault="001032B1" w:rsidP="008C49A5">
            <w:pPr>
              <w:tabs>
                <w:tab w:val="num" w:pos="720"/>
              </w:tabs>
              <w:jc w:val="both"/>
              <w:rPr>
                <w:rFonts w:cstheme="minorHAnsi"/>
              </w:rPr>
            </w:pPr>
          </w:p>
        </w:tc>
        <w:tc>
          <w:tcPr>
            <w:tcW w:w="720" w:type="dxa"/>
            <w:noWrap/>
            <w:hideMark/>
          </w:tcPr>
          <w:p w14:paraId="3CD3A361" w14:textId="77777777" w:rsidR="001032B1" w:rsidRPr="008C49A5" w:rsidRDefault="001032B1" w:rsidP="008C49A5">
            <w:pPr>
              <w:tabs>
                <w:tab w:val="num" w:pos="720"/>
              </w:tabs>
              <w:jc w:val="both"/>
              <w:rPr>
                <w:rFonts w:cstheme="minorHAnsi"/>
              </w:rPr>
            </w:pPr>
          </w:p>
        </w:tc>
        <w:tc>
          <w:tcPr>
            <w:tcW w:w="900" w:type="dxa"/>
            <w:noWrap/>
            <w:hideMark/>
          </w:tcPr>
          <w:p w14:paraId="1E2FA5D8" w14:textId="77777777" w:rsidR="001032B1" w:rsidRPr="008C49A5" w:rsidRDefault="001032B1" w:rsidP="008C49A5">
            <w:pPr>
              <w:tabs>
                <w:tab w:val="num" w:pos="720"/>
              </w:tabs>
              <w:jc w:val="both"/>
              <w:rPr>
                <w:rFonts w:cstheme="minorHAnsi"/>
              </w:rPr>
            </w:pPr>
          </w:p>
        </w:tc>
        <w:tc>
          <w:tcPr>
            <w:tcW w:w="990" w:type="dxa"/>
            <w:noWrap/>
            <w:hideMark/>
          </w:tcPr>
          <w:p w14:paraId="24FA0EA3" w14:textId="77777777" w:rsidR="001032B1" w:rsidRPr="008C49A5" w:rsidRDefault="001032B1" w:rsidP="008C49A5">
            <w:pPr>
              <w:tabs>
                <w:tab w:val="num" w:pos="720"/>
              </w:tabs>
              <w:jc w:val="both"/>
              <w:rPr>
                <w:rFonts w:cstheme="minorHAnsi"/>
              </w:rPr>
            </w:pPr>
            <w:r w:rsidRPr="008C49A5">
              <w:rPr>
                <w:rFonts w:cstheme="minorHAnsi"/>
              </w:rPr>
              <w:t>3.69</w:t>
            </w:r>
          </w:p>
        </w:tc>
      </w:tr>
    </w:tbl>
    <w:p w14:paraId="0BAC8B9C" w14:textId="77777777" w:rsidR="001032B1" w:rsidRPr="008C49A5" w:rsidRDefault="001032B1" w:rsidP="008C49A5">
      <w:pPr>
        <w:tabs>
          <w:tab w:val="num" w:pos="720"/>
        </w:tabs>
        <w:jc w:val="both"/>
        <w:rPr>
          <w:rFonts w:cstheme="minorHAnsi"/>
        </w:rPr>
      </w:pPr>
    </w:p>
    <w:p w14:paraId="4E3FB931" w14:textId="66F58C8E" w:rsidR="001032B1" w:rsidRPr="008C49A5" w:rsidRDefault="009E588C" w:rsidP="008C49A5">
      <w:pPr>
        <w:tabs>
          <w:tab w:val="num" w:pos="720"/>
        </w:tabs>
        <w:jc w:val="both"/>
        <w:rPr>
          <w:rFonts w:cstheme="minorHAnsi"/>
          <w:b/>
          <w:bCs/>
        </w:rPr>
      </w:pPr>
      <w:r w:rsidRPr="008C49A5">
        <w:rPr>
          <w:rFonts w:cstheme="minorHAnsi"/>
          <w:b/>
          <w:bCs/>
        </w:rPr>
        <w:t>GROSS PROFIT COMPARISON</w:t>
      </w:r>
      <w:r w:rsidR="001032B1" w:rsidRPr="001032B1">
        <w:rPr>
          <w:rFonts w:cstheme="minorHAnsi"/>
          <w:b/>
          <w:bCs/>
        </w:rPr>
        <w:t>:</w:t>
      </w:r>
    </w:p>
    <w:p w14:paraId="009A605C" w14:textId="59F5CAFC" w:rsidR="009E588C" w:rsidRPr="009E588C" w:rsidRDefault="009E588C" w:rsidP="008C49A5">
      <w:pPr>
        <w:tabs>
          <w:tab w:val="num" w:pos="720"/>
        </w:tabs>
        <w:spacing w:line="240" w:lineRule="auto"/>
        <w:jc w:val="both"/>
        <w:rPr>
          <w:rFonts w:cstheme="minorHAnsi"/>
        </w:rPr>
      </w:pPr>
      <w:r w:rsidRPr="009E588C">
        <w:rPr>
          <w:rFonts w:cstheme="minorHAnsi"/>
          <w:b/>
          <w:bCs/>
        </w:rPr>
        <w:t>Atlanticus Holdings Corp:</w:t>
      </w:r>
    </w:p>
    <w:p w14:paraId="3D6F69B6" w14:textId="77777777" w:rsidR="009E588C" w:rsidRPr="009E588C" w:rsidRDefault="009E588C" w:rsidP="008C49A5">
      <w:pPr>
        <w:numPr>
          <w:ilvl w:val="0"/>
          <w:numId w:val="8"/>
        </w:numPr>
        <w:spacing w:line="240" w:lineRule="auto"/>
        <w:jc w:val="both"/>
        <w:rPr>
          <w:rFonts w:cstheme="minorHAnsi"/>
        </w:rPr>
      </w:pPr>
      <w:r w:rsidRPr="009E588C">
        <w:rPr>
          <w:rFonts w:cstheme="minorHAnsi"/>
        </w:rPr>
        <w:t>Gross Profit (GP): $1,079.67M</w:t>
      </w:r>
    </w:p>
    <w:p w14:paraId="76373F1C" w14:textId="77777777" w:rsidR="009E588C" w:rsidRPr="009E588C" w:rsidRDefault="009E588C" w:rsidP="008C49A5">
      <w:pPr>
        <w:numPr>
          <w:ilvl w:val="0"/>
          <w:numId w:val="8"/>
        </w:numPr>
        <w:spacing w:line="240" w:lineRule="auto"/>
        <w:jc w:val="both"/>
        <w:rPr>
          <w:rFonts w:cstheme="minorHAnsi"/>
        </w:rPr>
      </w:pPr>
      <w:r w:rsidRPr="009E588C">
        <w:rPr>
          <w:rFonts w:cstheme="minorHAnsi"/>
        </w:rPr>
        <w:t>Gross Profit Growth (GPG): 2.57%</w:t>
      </w:r>
    </w:p>
    <w:p w14:paraId="407D123A" w14:textId="6D25984B" w:rsidR="009E588C" w:rsidRPr="009E588C" w:rsidRDefault="009E588C" w:rsidP="008C49A5">
      <w:pPr>
        <w:tabs>
          <w:tab w:val="num" w:pos="720"/>
        </w:tabs>
        <w:spacing w:line="240" w:lineRule="auto"/>
        <w:jc w:val="both"/>
        <w:rPr>
          <w:rFonts w:cstheme="minorHAnsi"/>
        </w:rPr>
      </w:pPr>
      <w:r w:rsidRPr="009E588C">
        <w:rPr>
          <w:rFonts w:cstheme="minorHAnsi"/>
          <w:b/>
          <w:bCs/>
        </w:rPr>
        <w:t>EZCorp, Inc. (sector peer):</w:t>
      </w:r>
    </w:p>
    <w:p w14:paraId="19311B0E" w14:textId="77777777" w:rsidR="009E588C" w:rsidRPr="009E588C" w:rsidRDefault="009E588C" w:rsidP="008C49A5">
      <w:pPr>
        <w:numPr>
          <w:ilvl w:val="0"/>
          <w:numId w:val="9"/>
        </w:numPr>
        <w:spacing w:line="240" w:lineRule="auto"/>
        <w:jc w:val="both"/>
        <w:rPr>
          <w:rFonts w:cstheme="minorHAnsi"/>
        </w:rPr>
      </w:pPr>
      <w:r w:rsidRPr="009E588C">
        <w:rPr>
          <w:rFonts w:cstheme="minorHAnsi"/>
        </w:rPr>
        <w:t>Gross Profit (GP): $615.36M</w:t>
      </w:r>
    </w:p>
    <w:p w14:paraId="0BE7B5B7" w14:textId="77777777" w:rsidR="009E588C" w:rsidRPr="009E588C" w:rsidRDefault="009E588C" w:rsidP="008C49A5">
      <w:pPr>
        <w:numPr>
          <w:ilvl w:val="0"/>
          <w:numId w:val="9"/>
        </w:numPr>
        <w:spacing w:line="240" w:lineRule="auto"/>
        <w:jc w:val="both"/>
        <w:rPr>
          <w:rFonts w:cstheme="minorHAnsi"/>
        </w:rPr>
      </w:pPr>
      <w:r w:rsidRPr="009E588C">
        <w:rPr>
          <w:rFonts w:cstheme="minorHAnsi"/>
        </w:rPr>
        <w:t>Gross Profit Growth (GPG): 6.52%</w:t>
      </w:r>
    </w:p>
    <w:p w14:paraId="5332E7D9" w14:textId="4092F48C" w:rsidR="009E588C" w:rsidRPr="009E588C" w:rsidRDefault="009E588C" w:rsidP="008C49A5">
      <w:pPr>
        <w:tabs>
          <w:tab w:val="num" w:pos="720"/>
        </w:tabs>
        <w:spacing w:line="240" w:lineRule="auto"/>
        <w:jc w:val="both"/>
        <w:rPr>
          <w:rFonts w:cstheme="minorHAnsi"/>
        </w:rPr>
      </w:pPr>
      <w:r w:rsidRPr="009E588C">
        <w:rPr>
          <w:rFonts w:cstheme="minorHAnsi"/>
          <w:b/>
          <w:bCs/>
        </w:rPr>
        <w:t>Oppenheimer Holdings Inc (sector peer):</w:t>
      </w:r>
    </w:p>
    <w:p w14:paraId="62F55CC7" w14:textId="77777777" w:rsidR="009E588C" w:rsidRPr="009E588C" w:rsidRDefault="009E588C" w:rsidP="008C49A5">
      <w:pPr>
        <w:numPr>
          <w:ilvl w:val="0"/>
          <w:numId w:val="10"/>
        </w:numPr>
        <w:spacing w:line="240" w:lineRule="auto"/>
        <w:jc w:val="both"/>
        <w:rPr>
          <w:rFonts w:cstheme="minorHAnsi"/>
        </w:rPr>
      </w:pPr>
      <w:r w:rsidRPr="009E588C">
        <w:rPr>
          <w:rFonts w:cstheme="minorHAnsi"/>
        </w:rPr>
        <w:t>Gross Profit (GP): $1,218.06M</w:t>
      </w:r>
    </w:p>
    <w:p w14:paraId="79F51C2D" w14:textId="77777777" w:rsidR="009E588C" w:rsidRPr="008C49A5" w:rsidRDefault="009E588C" w:rsidP="008C49A5">
      <w:pPr>
        <w:numPr>
          <w:ilvl w:val="0"/>
          <w:numId w:val="10"/>
        </w:numPr>
        <w:spacing w:line="240" w:lineRule="auto"/>
        <w:jc w:val="both"/>
        <w:rPr>
          <w:rFonts w:cstheme="minorHAnsi"/>
        </w:rPr>
      </w:pPr>
      <w:r w:rsidRPr="009E588C">
        <w:rPr>
          <w:rFonts w:cstheme="minorHAnsi"/>
        </w:rPr>
        <w:t>Gross Profit Growth (GPG): 2.72%</w:t>
      </w:r>
    </w:p>
    <w:p w14:paraId="5A5EC911" w14:textId="77777777" w:rsidR="009E588C" w:rsidRPr="009E588C" w:rsidRDefault="009E588C" w:rsidP="008C49A5">
      <w:pPr>
        <w:spacing w:line="240" w:lineRule="auto"/>
        <w:jc w:val="both"/>
        <w:rPr>
          <w:rFonts w:cstheme="minorHAnsi"/>
        </w:rPr>
      </w:pPr>
      <w:r w:rsidRPr="009E588C">
        <w:rPr>
          <w:rFonts w:cstheme="minorHAnsi"/>
          <w:b/>
          <w:bCs/>
        </w:rPr>
        <w:t>Fanhua Inc ADR (sector peer):</w:t>
      </w:r>
    </w:p>
    <w:p w14:paraId="015468EC" w14:textId="77777777" w:rsidR="009E588C" w:rsidRPr="009E588C" w:rsidRDefault="009E588C" w:rsidP="008C49A5">
      <w:pPr>
        <w:numPr>
          <w:ilvl w:val="0"/>
          <w:numId w:val="11"/>
        </w:numPr>
        <w:spacing w:line="240" w:lineRule="auto"/>
        <w:jc w:val="both"/>
        <w:rPr>
          <w:rFonts w:cstheme="minorHAnsi"/>
        </w:rPr>
      </w:pPr>
      <w:r w:rsidRPr="009E588C">
        <w:rPr>
          <w:rFonts w:cstheme="minorHAnsi"/>
        </w:rPr>
        <w:t>Gross Profit (GP): $147.75M</w:t>
      </w:r>
    </w:p>
    <w:p w14:paraId="2D8A84EE" w14:textId="63B13A7B" w:rsidR="009E588C" w:rsidRPr="008C49A5" w:rsidRDefault="009E588C" w:rsidP="008C49A5">
      <w:pPr>
        <w:numPr>
          <w:ilvl w:val="0"/>
          <w:numId w:val="11"/>
        </w:numPr>
        <w:spacing w:line="240" w:lineRule="auto"/>
        <w:jc w:val="both"/>
        <w:rPr>
          <w:rFonts w:cstheme="minorHAnsi"/>
        </w:rPr>
      </w:pPr>
      <w:r w:rsidRPr="009E588C">
        <w:rPr>
          <w:rFonts w:cstheme="minorHAnsi"/>
        </w:rPr>
        <w:t>Gross Profit Growth (GPG): 2.95%</w:t>
      </w:r>
    </w:p>
    <w:p w14:paraId="02B5A3D9" w14:textId="4DF0B23D" w:rsidR="009E588C" w:rsidRPr="001032B1" w:rsidRDefault="009E588C" w:rsidP="008C49A5">
      <w:pPr>
        <w:tabs>
          <w:tab w:val="num" w:pos="720"/>
        </w:tabs>
        <w:jc w:val="both"/>
        <w:rPr>
          <w:rFonts w:cstheme="minorHAnsi"/>
          <w:b/>
          <w:bCs/>
        </w:rPr>
      </w:pPr>
      <w:r w:rsidRPr="008C49A5">
        <w:rPr>
          <w:rFonts w:cstheme="minorHAnsi"/>
          <w:b/>
          <w:bCs/>
        </w:rPr>
        <w:t>OBSERVATION:</w:t>
      </w:r>
    </w:p>
    <w:p w14:paraId="7DB07878" w14:textId="77777777" w:rsidR="001032B1" w:rsidRPr="001032B1" w:rsidRDefault="001032B1" w:rsidP="008C49A5">
      <w:pPr>
        <w:numPr>
          <w:ilvl w:val="0"/>
          <w:numId w:val="6"/>
        </w:numPr>
        <w:jc w:val="both"/>
        <w:rPr>
          <w:rFonts w:cstheme="minorHAnsi"/>
        </w:rPr>
      </w:pPr>
      <w:r w:rsidRPr="001032B1">
        <w:rPr>
          <w:rFonts w:cstheme="minorHAnsi"/>
          <w:b/>
          <w:bCs/>
        </w:rPr>
        <w:t>Gross Profit:</w:t>
      </w:r>
      <w:r w:rsidRPr="001032B1">
        <w:rPr>
          <w:rFonts w:cstheme="minorHAnsi"/>
        </w:rPr>
        <w:t xml:space="preserve"> Atlanticus Holdings Corp has a higher gross profit compared to EZCorp, Inc. and Fanhua Inc ADR, but slightly lower than Oppenheimer Holdings Inc.</w:t>
      </w:r>
    </w:p>
    <w:p w14:paraId="39E6DCCC" w14:textId="4AE07252" w:rsidR="009E588C" w:rsidRDefault="001032B1" w:rsidP="008C49A5">
      <w:pPr>
        <w:numPr>
          <w:ilvl w:val="0"/>
          <w:numId w:val="6"/>
        </w:numPr>
        <w:jc w:val="both"/>
        <w:rPr>
          <w:rFonts w:cstheme="minorHAnsi"/>
        </w:rPr>
      </w:pPr>
      <w:r w:rsidRPr="001032B1">
        <w:rPr>
          <w:rFonts w:cstheme="minorHAnsi"/>
          <w:b/>
          <w:bCs/>
        </w:rPr>
        <w:t>Gross Profit Growth:</w:t>
      </w:r>
      <w:r w:rsidRPr="001032B1">
        <w:rPr>
          <w:rFonts w:cstheme="minorHAnsi"/>
        </w:rPr>
        <w:t xml:space="preserve"> Atlanticus Holdings Corp has the lowest gross profit growth among the peers, with only Fanhua Inc ADR showing a marginally better growth rate.</w:t>
      </w:r>
    </w:p>
    <w:p w14:paraId="388925EE" w14:textId="77777777" w:rsidR="008C49A5" w:rsidRDefault="008C49A5" w:rsidP="008C49A5">
      <w:pPr>
        <w:jc w:val="both"/>
        <w:rPr>
          <w:rFonts w:cstheme="minorHAnsi"/>
          <w:b/>
          <w:bCs/>
        </w:rPr>
      </w:pPr>
    </w:p>
    <w:p w14:paraId="6F99EDC5" w14:textId="77777777" w:rsidR="008C49A5" w:rsidRPr="008C49A5" w:rsidRDefault="008C49A5" w:rsidP="008C49A5">
      <w:pPr>
        <w:jc w:val="both"/>
        <w:rPr>
          <w:rFonts w:cstheme="minorHAnsi"/>
        </w:rPr>
      </w:pPr>
    </w:p>
    <w:p w14:paraId="370B0AD1" w14:textId="77777777" w:rsidR="004A4B76" w:rsidRDefault="004A4B76" w:rsidP="008C49A5">
      <w:pPr>
        <w:jc w:val="both"/>
        <w:rPr>
          <w:rFonts w:cstheme="minorHAnsi"/>
          <w:b/>
          <w:bCs/>
        </w:rPr>
      </w:pPr>
    </w:p>
    <w:p w14:paraId="595A6FC4" w14:textId="77777777" w:rsidR="004A4B76" w:rsidRDefault="004A4B76" w:rsidP="008C49A5">
      <w:pPr>
        <w:jc w:val="both"/>
        <w:rPr>
          <w:rFonts w:cstheme="minorHAnsi"/>
          <w:b/>
          <w:bCs/>
        </w:rPr>
      </w:pPr>
    </w:p>
    <w:p w14:paraId="1F5E58EC" w14:textId="3DAAB7D0" w:rsidR="009E588C" w:rsidRPr="008C49A5" w:rsidRDefault="009E588C" w:rsidP="008C49A5">
      <w:pPr>
        <w:jc w:val="both"/>
        <w:rPr>
          <w:rFonts w:cstheme="minorHAnsi"/>
          <w:b/>
          <w:bCs/>
        </w:rPr>
      </w:pPr>
      <w:r w:rsidRPr="008C49A5">
        <w:rPr>
          <w:rFonts w:cstheme="minorHAnsi"/>
          <w:b/>
          <w:bCs/>
        </w:rPr>
        <w:lastRenderedPageBreak/>
        <w:t>VALUATION METRICS COMPARISON:</w:t>
      </w:r>
    </w:p>
    <w:p w14:paraId="586DD8D0" w14:textId="77777777" w:rsidR="009E588C" w:rsidRPr="008C49A5" w:rsidRDefault="009E588C" w:rsidP="008C49A5">
      <w:pPr>
        <w:jc w:val="both"/>
        <w:rPr>
          <w:rFonts w:cstheme="minorHAnsi"/>
        </w:rPr>
      </w:pPr>
      <w:r w:rsidRPr="009E588C">
        <w:rPr>
          <w:rFonts w:cstheme="minorHAnsi"/>
        </w:rPr>
        <w:t>Using the Price to Earnings Ratio (P/E) and Price to Sales Ratio (P/S) as valuation metrics:</w:t>
      </w:r>
    </w:p>
    <w:p w14:paraId="7C6FD594" w14:textId="3A83FD22" w:rsidR="009E588C" w:rsidRPr="009E588C" w:rsidRDefault="009E588C" w:rsidP="008C49A5">
      <w:pPr>
        <w:jc w:val="both"/>
        <w:rPr>
          <w:rFonts w:cstheme="minorHAnsi"/>
        </w:rPr>
      </w:pPr>
      <w:r w:rsidRPr="009E588C">
        <w:rPr>
          <w:rFonts w:cstheme="minorHAnsi"/>
          <w:b/>
          <w:bCs/>
        </w:rPr>
        <w:t>Market Capitalization:</w:t>
      </w:r>
      <w:r w:rsidRPr="009E588C">
        <w:rPr>
          <w:rFonts w:cstheme="minorHAnsi"/>
        </w:rPr>
        <w:t xml:space="preserve"> Atlanticus Holdings Corp is smaller in market capitalization compared to its peers, except for Fanhua Inc ADR.</w:t>
      </w:r>
    </w:p>
    <w:p w14:paraId="69619A48" w14:textId="1088A6A8" w:rsidR="009E588C" w:rsidRPr="009E588C" w:rsidRDefault="009E588C" w:rsidP="008C49A5">
      <w:pPr>
        <w:jc w:val="both"/>
        <w:rPr>
          <w:rFonts w:cstheme="minorHAnsi"/>
        </w:rPr>
      </w:pPr>
      <w:r w:rsidRPr="009E588C">
        <w:rPr>
          <w:rFonts w:cstheme="minorHAnsi"/>
          <w:b/>
          <w:bCs/>
        </w:rPr>
        <w:t>P/E Ratio:</w:t>
      </w:r>
      <w:r w:rsidRPr="009E588C">
        <w:rPr>
          <w:rFonts w:cstheme="minorHAnsi"/>
        </w:rPr>
        <w:t xml:space="preserve"> Atlanticus Holdings Corp has the lowest P/E ratio</w:t>
      </w:r>
      <w:r w:rsidR="001A2E37" w:rsidRPr="008C49A5">
        <w:rPr>
          <w:rFonts w:cstheme="minorHAnsi"/>
        </w:rPr>
        <w:t xml:space="preserve"> but slightly highest than Fanhua </w:t>
      </w:r>
      <w:r w:rsidRPr="009E588C">
        <w:rPr>
          <w:rFonts w:cstheme="minorHAnsi"/>
        </w:rPr>
        <w:t>indicating a lower valuation relative to earnings compared to peers.</w:t>
      </w:r>
    </w:p>
    <w:p w14:paraId="755164EA" w14:textId="30DA30EB" w:rsidR="009E588C" w:rsidRPr="008C49A5" w:rsidRDefault="009E588C" w:rsidP="008C49A5">
      <w:pPr>
        <w:jc w:val="both"/>
        <w:rPr>
          <w:rFonts w:cstheme="minorHAnsi"/>
        </w:rPr>
      </w:pPr>
      <w:r w:rsidRPr="008C49A5">
        <w:rPr>
          <w:rFonts w:cstheme="minorHAnsi"/>
          <w:b/>
          <w:bCs/>
        </w:rPr>
        <w:t>P/S Ratio:</w:t>
      </w:r>
      <w:r w:rsidRPr="008C49A5">
        <w:rPr>
          <w:rFonts w:cstheme="minorHAnsi"/>
        </w:rPr>
        <w:t xml:space="preserve"> Atlanticus Holdings Corp has the lowest P/S ratio, suggesting it may be undervalued relative to its sales compared to its peers.</w:t>
      </w:r>
    </w:p>
    <w:p w14:paraId="5F0483F6" w14:textId="11F5987E" w:rsidR="009E588C" w:rsidRPr="008C49A5" w:rsidRDefault="009E588C" w:rsidP="008C49A5">
      <w:pPr>
        <w:jc w:val="both"/>
        <w:rPr>
          <w:rFonts w:cstheme="minorHAnsi"/>
          <w:b/>
          <w:bCs/>
        </w:rPr>
      </w:pPr>
      <w:r w:rsidRPr="008C49A5">
        <w:rPr>
          <w:rFonts w:cstheme="minorHAnsi"/>
          <w:b/>
          <w:bCs/>
        </w:rPr>
        <w:t>Summary:</w:t>
      </w:r>
    </w:p>
    <w:p w14:paraId="7B3AE514" w14:textId="5DBE327D" w:rsidR="009E588C" w:rsidRPr="009E588C" w:rsidRDefault="009E588C" w:rsidP="008C49A5">
      <w:pPr>
        <w:jc w:val="both"/>
        <w:rPr>
          <w:rFonts w:cstheme="minorHAnsi"/>
        </w:rPr>
      </w:pPr>
      <w:r w:rsidRPr="008C49A5">
        <w:rPr>
          <w:rFonts w:cstheme="minorHAnsi"/>
        </w:rPr>
        <w:t>Atlanticus Holdings Corp exhibits strong gross profit but relatively lower growth compared to its sector peers. Valuation-wise, the company appears more undervalued based on both P/E and P/S ratios, indicating potential for growth or a possible undervaluation relative to its earnings and sales.</w:t>
      </w:r>
      <w:r w:rsidR="001A2E37" w:rsidRPr="008C49A5">
        <w:rPr>
          <w:rFonts w:cstheme="minorHAnsi"/>
        </w:rPr>
        <w:t xml:space="preserve"> </w:t>
      </w:r>
      <w:r w:rsidR="001A2E37" w:rsidRPr="008C49A5">
        <w:rPr>
          <w:rFonts w:cstheme="minorHAnsi"/>
        </w:rPr>
        <w:t>With a P/S ratio of 0.</w:t>
      </w:r>
      <w:r w:rsidR="001A2E37" w:rsidRPr="008C49A5">
        <w:rPr>
          <w:rFonts w:cstheme="minorHAnsi"/>
        </w:rPr>
        <w:t>47</w:t>
      </w:r>
      <w:r w:rsidR="001A2E37" w:rsidRPr="008C49A5">
        <w:rPr>
          <w:rFonts w:cstheme="minorHAnsi"/>
        </w:rPr>
        <w:t>, which is below the sector average of 0.</w:t>
      </w:r>
      <w:r w:rsidR="001A2E37" w:rsidRPr="008C49A5">
        <w:rPr>
          <w:rFonts w:cstheme="minorHAnsi"/>
        </w:rPr>
        <w:t>61</w:t>
      </w:r>
      <w:r w:rsidR="001A2E37" w:rsidRPr="008C49A5">
        <w:rPr>
          <w:rFonts w:cstheme="minorHAnsi"/>
        </w:rPr>
        <w:t xml:space="preserve">, it suggests that Atlanticus Holdings Corp </w:t>
      </w:r>
      <w:r w:rsidR="001A2E37" w:rsidRPr="008C49A5">
        <w:rPr>
          <w:rFonts w:cstheme="minorHAnsi"/>
        </w:rPr>
        <w:t>might</w:t>
      </w:r>
      <w:r w:rsidR="001A2E37" w:rsidRPr="008C49A5">
        <w:rPr>
          <w:rFonts w:cstheme="minorHAnsi"/>
        </w:rPr>
        <w:t xml:space="preserve"> be undervalued compared to its sector peers.</w:t>
      </w:r>
    </w:p>
    <w:p w14:paraId="42975CA6" w14:textId="77777777" w:rsidR="009E588C" w:rsidRPr="008C49A5" w:rsidRDefault="009E588C" w:rsidP="008C49A5">
      <w:pPr>
        <w:jc w:val="both"/>
        <w:rPr>
          <w:rFonts w:cstheme="minorHAnsi"/>
        </w:rPr>
      </w:pPr>
    </w:p>
    <w:p w14:paraId="739007BB" w14:textId="71D3FFAA" w:rsidR="001A2E37" w:rsidRPr="008C49A5" w:rsidRDefault="001A2E37" w:rsidP="008C49A5">
      <w:pPr>
        <w:jc w:val="both"/>
        <w:rPr>
          <w:rFonts w:cstheme="minorHAnsi"/>
          <w:b/>
          <w:bCs/>
        </w:rPr>
      </w:pPr>
      <w:r w:rsidRPr="008C49A5">
        <w:rPr>
          <w:rFonts w:cstheme="minorHAnsi"/>
          <w:b/>
          <w:bCs/>
        </w:rPr>
        <w:t>(2)</w:t>
      </w:r>
      <w:r w:rsidR="006E4472" w:rsidRPr="008C49A5">
        <w:rPr>
          <w:rFonts w:cstheme="minorHAnsi"/>
          <w:b/>
          <w:bCs/>
        </w:rPr>
        <w:t xml:space="preserve"> Chosen Company: </w:t>
      </w:r>
      <w:r w:rsidR="006E4472" w:rsidRPr="008C49A5">
        <w:rPr>
          <w:rFonts w:cstheme="minorHAnsi"/>
          <w:b/>
          <w:bCs/>
        </w:rPr>
        <w:t>Diebold Nixdorf Inc</w:t>
      </w:r>
    </w:p>
    <w:tbl>
      <w:tblPr>
        <w:tblStyle w:val="TableGrid"/>
        <w:tblW w:w="9805" w:type="dxa"/>
        <w:tblLayout w:type="fixed"/>
        <w:tblLook w:val="04A0" w:firstRow="1" w:lastRow="0" w:firstColumn="1" w:lastColumn="0" w:noHBand="0" w:noVBand="1"/>
      </w:tblPr>
      <w:tblGrid>
        <w:gridCol w:w="1435"/>
        <w:gridCol w:w="1080"/>
        <w:gridCol w:w="1294"/>
        <w:gridCol w:w="1046"/>
        <w:gridCol w:w="720"/>
        <w:gridCol w:w="900"/>
        <w:gridCol w:w="810"/>
        <w:gridCol w:w="900"/>
        <w:gridCol w:w="630"/>
        <w:gridCol w:w="990"/>
      </w:tblGrid>
      <w:tr w:rsidR="008C49A5" w:rsidRPr="008C49A5" w14:paraId="1C42E28D" w14:textId="77777777" w:rsidTr="00DD10CF">
        <w:trPr>
          <w:trHeight w:val="290"/>
        </w:trPr>
        <w:tc>
          <w:tcPr>
            <w:tcW w:w="1435" w:type="dxa"/>
            <w:noWrap/>
            <w:hideMark/>
          </w:tcPr>
          <w:p w14:paraId="5C6FDD17" w14:textId="77777777" w:rsidR="00DD10CF" w:rsidRPr="008C49A5" w:rsidRDefault="00DD10CF" w:rsidP="008C49A5">
            <w:pPr>
              <w:jc w:val="both"/>
              <w:rPr>
                <w:rFonts w:cstheme="minorHAnsi"/>
              </w:rPr>
            </w:pPr>
            <w:r w:rsidRPr="008C49A5">
              <w:rPr>
                <w:rFonts w:cstheme="minorHAnsi"/>
              </w:rPr>
              <w:t>TECHNOLOGY SECTOR</w:t>
            </w:r>
          </w:p>
        </w:tc>
        <w:tc>
          <w:tcPr>
            <w:tcW w:w="1080" w:type="dxa"/>
            <w:noWrap/>
            <w:hideMark/>
          </w:tcPr>
          <w:p w14:paraId="4A819FFC" w14:textId="77777777" w:rsidR="00DD10CF" w:rsidRPr="008C49A5" w:rsidRDefault="00DD10CF" w:rsidP="008C49A5">
            <w:pPr>
              <w:jc w:val="both"/>
              <w:rPr>
                <w:rFonts w:cstheme="minorHAnsi"/>
              </w:rPr>
            </w:pPr>
          </w:p>
        </w:tc>
        <w:tc>
          <w:tcPr>
            <w:tcW w:w="1294" w:type="dxa"/>
            <w:noWrap/>
            <w:hideMark/>
          </w:tcPr>
          <w:p w14:paraId="69E35E36" w14:textId="77777777" w:rsidR="00DD10CF" w:rsidRPr="008C49A5" w:rsidRDefault="00DD10CF" w:rsidP="008C49A5">
            <w:pPr>
              <w:jc w:val="both"/>
              <w:rPr>
                <w:rFonts w:cstheme="minorHAnsi"/>
              </w:rPr>
            </w:pPr>
          </w:p>
        </w:tc>
        <w:tc>
          <w:tcPr>
            <w:tcW w:w="1046" w:type="dxa"/>
            <w:noWrap/>
            <w:hideMark/>
          </w:tcPr>
          <w:p w14:paraId="52A22B63" w14:textId="77777777" w:rsidR="00DD10CF" w:rsidRPr="008C49A5" w:rsidRDefault="00DD10CF" w:rsidP="008C49A5">
            <w:pPr>
              <w:jc w:val="both"/>
              <w:rPr>
                <w:rFonts w:cstheme="minorHAnsi"/>
              </w:rPr>
            </w:pPr>
          </w:p>
        </w:tc>
        <w:tc>
          <w:tcPr>
            <w:tcW w:w="720" w:type="dxa"/>
            <w:noWrap/>
            <w:hideMark/>
          </w:tcPr>
          <w:p w14:paraId="326752C7" w14:textId="77777777" w:rsidR="00DD10CF" w:rsidRPr="008C49A5" w:rsidRDefault="00DD10CF" w:rsidP="008C49A5">
            <w:pPr>
              <w:jc w:val="both"/>
              <w:rPr>
                <w:rFonts w:cstheme="minorHAnsi"/>
              </w:rPr>
            </w:pPr>
          </w:p>
        </w:tc>
        <w:tc>
          <w:tcPr>
            <w:tcW w:w="900" w:type="dxa"/>
            <w:noWrap/>
            <w:hideMark/>
          </w:tcPr>
          <w:p w14:paraId="40DF5FA7" w14:textId="77777777" w:rsidR="00DD10CF" w:rsidRPr="008C49A5" w:rsidRDefault="00DD10CF" w:rsidP="008C49A5">
            <w:pPr>
              <w:jc w:val="both"/>
              <w:rPr>
                <w:rFonts w:cstheme="minorHAnsi"/>
              </w:rPr>
            </w:pPr>
          </w:p>
        </w:tc>
        <w:tc>
          <w:tcPr>
            <w:tcW w:w="810" w:type="dxa"/>
            <w:noWrap/>
            <w:hideMark/>
          </w:tcPr>
          <w:p w14:paraId="54656ED2" w14:textId="77777777" w:rsidR="00DD10CF" w:rsidRPr="008C49A5" w:rsidRDefault="00DD10CF" w:rsidP="008C49A5">
            <w:pPr>
              <w:jc w:val="both"/>
              <w:rPr>
                <w:rFonts w:cstheme="minorHAnsi"/>
              </w:rPr>
            </w:pPr>
          </w:p>
        </w:tc>
        <w:tc>
          <w:tcPr>
            <w:tcW w:w="900" w:type="dxa"/>
            <w:noWrap/>
            <w:hideMark/>
          </w:tcPr>
          <w:p w14:paraId="5259505F" w14:textId="77777777" w:rsidR="00DD10CF" w:rsidRPr="008C49A5" w:rsidRDefault="00DD10CF" w:rsidP="008C49A5">
            <w:pPr>
              <w:jc w:val="both"/>
              <w:rPr>
                <w:rFonts w:cstheme="minorHAnsi"/>
              </w:rPr>
            </w:pPr>
          </w:p>
        </w:tc>
        <w:tc>
          <w:tcPr>
            <w:tcW w:w="630" w:type="dxa"/>
            <w:noWrap/>
            <w:hideMark/>
          </w:tcPr>
          <w:p w14:paraId="476D1D6F" w14:textId="77777777" w:rsidR="00DD10CF" w:rsidRPr="008C49A5" w:rsidRDefault="00DD10CF" w:rsidP="008C49A5">
            <w:pPr>
              <w:jc w:val="both"/>
              <w:rPr>
                <w:rFonts w:cstheme="minorHAnsi"/>
              </w:rPr>
            </w:pPr>
          </w:p>
        </w:tc>
        <w:tc>
          <w:tcPr>
            <w:tcW w:w="990" w:type="dxa"/>
            <w:noWrap/>
            <w:hideMark/>
          </w:tcPr>
          <w:p w14:paraId="400F0BC2" w14:textId="77777777" w:rsidR="00DD10CF" w:rsidRPr="008C49A5" w:rsidRDefault="00DD10CF" w:rsidP="008C49A5">
            <w:pPr>
              <w:jc w:val="both"/>
              <w:rPr>
                <w:rFonts w:cstheme="minorHAnsi"/>
              </w:rPr>
            </w:pPr>
          </w:p>
        </w:tc>
      </w:tr>
      <w:tr w:rsidR="00DD10CF" w:rsidRPr="008C49A5" w14:paraId="50F75EF0" w14:textId="77777777" w:rsidTr="00DD10CF">
        <w:trPr>
          <w:trHeight w:val="870"/>
        </w:trPr>
        <w:tc>
          <w:tcPr>
            <w:tcW w:w="1435" w:type="dxa"/>
            <w:noWrap/>
            <w:hideMark/>
          </w:tcPr>
          <w:p w14:paraId="4CFA033A" w14:textId="77777777" w:rsidR="00DD10CF" w:rsidRPr="008C49A5" w:rsidRDefault="00DD10CF" w:rsidP="008C49A5">
            <w:pPr>
              <w:jc w:val="both"/>
              <w:rPr>
                <w:rFonts w:cstheme="minorHAnsi"/>
              </w:rPr>
            </w:pPr>
            <w:r w:rsidRPr="008C49A5">
              <w:rPr>
                <w:rFonts w:cstheme="minorHAnsi"/>
              </w:rPr>
              <w:t>Company Name</w:t>
            </w:r>
          </w:p>
        </w:tc>
        <w:tc>
          <w:tcPr>
            <w:tcW w:w="1080" w:type="dxa"/>
            <w:noWrap/>
            <w:hideMark/>
          </w:tcPr>
          <w:p w14:paraId="2E5AB744" w14:textId="77777777" w:rsidR="00DD10CF" w:rsidRPr="008C49A5" w:rsidRDefault="00DD10CF" w:rsidP="008C49A5">
            <w:pPr>
              <w:jc w:val="both"/>
              <w:rPr>
                <w:rFonts w:cstheme="minorHAnsi"/>
              </w:rPr>
            </w:pPr>
            <w:r w:rsidRPr="008C49A5">
              <w:rPr>
                <w:rFonts w:cstheme="minorHAnsi"/>
              </w:rPr>
              <w:t>Sector</w:t>
            </w:r>
          </w:p>
        </w:tc>
        <w:tc>
          <w:tcPr>
            <w:tcW w:w="1294" w:type="dxa"/>
            <w:noWrap/>
            <w:hideMark/>
          </w:tcPr>
          <w:p w14:paraId="69357475" w14:textId="7EEA1825" w:rsidR="00DD10CF" w:rsidRPr="008C49A5" w:rsidRDefault="00DD10CF" w:rsidP="008C49A5">
            <w:pPr>
              <w:jc w:val="both"/>
              <w:rPr>
                <w:rFonts w:cstheme="minorHAnsi"/>
              </w:rPr>
            </w:pPr>
            <w:r w:rsidRPr="008C49A5">
              <w:rPr>
                <w:rFonts w:cstheme="minorHAnsi"/>
              </w:rPr>
              <w:t xml:space="preserve">Market </w:t>
            </w:r>
            <w:r w:rsidRPr="008C49A5">
              <w:rPr>
                <w:rFonts w:cstheme="minorHAnsi"/>
              </w:rPr>
              <w:t>Capitalization (</w:t>
            </w:r>
            <w:r w:rsidRPr="008C49A5">
              <w:rPr>
                <w:rFonts w:cstheme="minorHAnsi"/>
              </w:rPr>
              <w:t xml:space="preserve">$) </w:t>
            </w:r>
          </w:p>
        </w:tc>
        <w:tc>
          <w:tcPr>
            <w:tcW w:w="1046" w:type="dxa"/>
            <w:hideMark/>
          </w:tcPr>
          <w:p w14:paraId="42C194A8" w14:textId="7692BE75" w:rsidR="00DD10CF" w:rsidRPr="008C49A5" w:rsidRDefault="00DD10CF" w:rsidP="008C49A5">
            <w:pPr>
              <w:jc w:val="both"/>
              <w:rPr>
                <w:rFonts w:cstheme="minorHAnsi"/>
              </w:rPr>
            </w:pPr>
            <w:r w:rsidRPr="008C49A5">
              <w:rPr>
                <w:rFonts w:cstheme="minorHAnsi"/>
              </w:rPr>
              <w:t xml:space="preserve">Price to </w:t>
            </w:r>
            <w:r w:rsidRPr="008C49A5">
              <w:rPr>
                <w:rFonts w:cstheme="minorHAnsi"/>
              </w:rPr>
              <w:t>Earnings</w:t>
            </w:r>
            <w:r w:rsidRPr="008C49A5">
              <w:rPr>
                <w:rFonts w:cstheme="minorHAnsi"/>
              </w:rPr>
              <w:t xml:space="preserve"> Ratio (P/E)</w:t>
            </w:r>
          </w:p>
        </w:tc>
        <w:tc>
          <w:tcPr>
            <w:tcW w:w="720" w:type="dxa"/>
            <w:hideMark/>
          </w:tcPr>
          <w:p w14:paraId="1770B6F1" w14:textId="77777777" w:rsidR="00DD10CF" w:rsidRPr="008C49A5" w:rsidRDefault="00DD10CF" w:rsidP="008C49A5">
            <w:pPr>
              <w:jc w:val="both"/>
              <w:rPr>
                <w:rFonts w:cstheme="minorHAnsi"/>
              </w:rPr>
            </w:pPr>
            <w:r w:rsidRPr="008C49A5">
              <w:rPr>
                <w:rFonts w:cstheme="minorHAnsi"/>
              </w:rPr>
              <w:t>Price to Sales Ratio (P/S)</w:t>
            </w:r>
          </w:p>
        </w:tc>
        <w:tc>
          <w:tcPr>
            <w:tcW w:w="900" w:type="dxa"/>
            <w:noWrap/>
            <w:hideMark/>
          </w:tcPr>
          <w:p w14:paraId="5A270115" w14:textId="77777777" w:rsidR="00DD10CF" w:rsidRPr="008C49A5" w:rsidRDefault="00DD10CF" w:rsidP="008C49A5">
            <w:pPr>
              <w:jc w:val="both"/>
              <w:rPr>
                <w:rFonts w:cstheme="minorHAnsi"/>
              </w:rPr>
            </w:pPr>
            <w:r w:rsidRPr="008C49A5">
              <w:rPr>
                <w:rFonts w:cstheme="minorHAnsi"/>
              </w:rPr>
              <w:t>Total Revenue ($M)</w:t>
            </w:r>
          </w:p>
        </w:tc>
        <w:tc>
          <w:tcPr>
            <w:tcW w:w="810" w:type="dxa"/>
            <w:noWrap/>
            <w:hideMark/>
          </w:tcPr>
          <w:p w14:paraId="2561720D" w14:textId="77777777" w:rsidR="00DD10CF" w:rsidRPr="008C49A5" w:rsidRDefault="00DD10CF" w:rsidP="008C49A5">
            <w:pPr>
              <w:jc w:val="both"/>
              <w:rPr>
                <w:rFonts w:cstheme="minorHAnsi"/>
              </w:rPr>
            </w:pPr>
            <w:r w:rsidRPr="008C49A5">
              <w:rPr>
                <w:rFonts w:cstheme="minorHAnsi"/>
              </w:rPr>
              <w:t>Gross Margin (%)</w:t>
            </w:r>
          </w:p>
        </w:tc>
        <w:tc>
          <w:tcPr>
            <w:tcW w:w="900" w:type="dxa"/>
            <w:noWrap/>
            <w:hideMark/>
          </w:tcPr>
          <w:p w14:paraId="26611406" w14:textId="77777777" w:rsidR="00DD10CF" w:rsidRPr="008C49A5" w:rsidRDefault="00DD10CF" w:rsidP="008C49A5">
            <w:pPr>
              <w:jc w:val="both"/>
              <w:rPr>
                <w:rFonts w:cstheme="minorHAnsi"/>
              </w:rPr>
            </w:pPr>
            <w:r w:rsidRPr="008C49A5">
              <w:rPr>
                <w:rFonts w:cstheme="minorHAnsi"/>
              </w:rPr>
              <w:t>Gross Profit (GP) ($M)</w:t>
            </w:r>
          </w:p>
        </w:tc>
        <w:tc>
          <w:tcPr>
            <w:tcW w:w="630" w:type="dxa"/>
            <w:noWrap/>
            <w:hideMark/>
          </w:tcPr>
          <w:p w14:paraId="7549DF9A" w14:textId="77777777" w:rsidR="00DD10CF" w:rsidRPr="008C49A5" w:rsidRDefault="00DD10CF" w:rsidP="008C49A5">
            <w:pPr>
              <w:jc w:val="both"/>
              <w:rPr>
                <w:rFonts w:cstheme="minorHAnsi"/>
              </w:rPr>
            </w:pPr>
            <w:r w:rsidRPr="008C49A5">
              <w:rPr>
                <w:rFonts w:cstheme="minorHAnsi"/>
              </w:rPr>
              <w:t>Previous GP ($M)</w:t>
            </w:r>
          </w:p>
        </w:tc>
        <w:tc>
          <w:tcPr>
            <w:tcW w:w="990" w:type="dxa"/>
            <w:hideMark/>
          </w:tcPr>
          <w:p w14:paraId="2E140458" w14:textId="77777777" w:rsidR="00DD10CF" w:rsidRPr="008C49A5" w:rsidRDefault="00DD10CF" w:rsidP="008C49A5">
            <w:pPr>
              <w:jc w:val="both"/>
              <w:rPr>
                <w:rFonts w:cstheme="minorHAnsi"/>
              </w:rPr>
            </w:pPr>
            <w:r w:rsidRPr="008C49A5">
              <w:rPr>
                <w:rFonts w:cstheme="minorHAnsi"/>
              </w:rPr>
              <w:t>Gross Profit Growth (GPG) (%)</w:t>
            </w:r>
          </w:p>
        </w:tc>
      </w:tr>
      <w:tr w:rsidR="008C49A5" w:rsidRPr="008C49A5" w14:paraId="1911908F" w14:textId="77777777" w:rsidTr="00DD10CF">
        <w:trPr>
          <w:trHeight w:val="320"/>
        </w:trPr>
        <w:tc>
          <w:tcPr>
            <w:tcW w:w="1435" w:type="dxa"/>
            <w:noWrap/>
            <w:hideMark/>
          </w:tcPr>
          <w:p w14:paraId="3D01F527" w14:textId="77777777" w:rsidR="00DD10CF" w:rsidRPr="008C49A5" w:rsidRDefault="00DD10CF" w:rsidP="008C49A5">
            <w:pPr>
              <w:jc w:val="both"/>
              <w:rPr>
                <w:rFonts w:cstheme="minorHAnsi"/>
              </w:rPr>
            </w:pPr>
            <w:r w:rsidRPr="008C49A5">
              <w:rPr>
                <w:rFonts w:cstheme="minorHAnsi"/>
              </w:rPr>
              <w:t>Diebold Nixdorf Inc</w:t>
            </w:r>
          </w:p>
        </w:tc>
        <w:tc>
          <w:tcPr>
            <w:tcW w:w="1080" w:type="dxa"/>
            <w:noWrap/>
            <w:hideMark/>
          </w:tcPr>
          <w:p w14:paraId="0F26BC74" w14:textId="77777777" w:rsidR="00DD10CF" w:rsidRPr="008C49A5" w:rsidRDefault="00DD10CF" w:rsidP="008C49A5">
            <w:pPr>
              <w:jc w:val="both"/>
              <w:rPr>
                <w:rFonts w:cstheme="minorHAnsi"/>
              </w:rPr>
            </w:pPr>
            <w:r w:rsidRPr="008C49A5">
              <w:rPr>
                <w:rFonts w:cstheme="minorHAnsi"/>
              </w:rPr>
              <w:t>TECHNOLOGY</w:t>
            </w:r>
          </w:p>
        </w:tc>
        <w:tc>
          <w:tcPr>
            <w:tcW w:w="1294" w:type="dxa"/>
            <w:noWrap/>
            <w:hideMark/>
          </w:tcPr>
          <w:p w14:paraId="5C18551A" w14:textId="77777777" w:rsidR="00DD10CF" w:rsidRPr="008C49A5" w:rsidRDefault="00DD10CF" w:rsidP="008C49A5">
            <w:pPr>
              <w:jc w:val="both"/>
              <w:rPr>
                <w:rFonts w:cstheme="minorHAnsi"/>
              </w:rPr>
            </w:pPr>
            <w:r w:rsidRPr="008C49A5">
              <w:rPr>
                <w:rFonts w:cstheme="minorHAnsi"/>
              </w:rPr>
              <w:t>3.39B</w:t>
            </w:r>
          </w:p>
        </w:tc>
        <w:tc>
          <w:tcPr>
            <w:tcW w:w="1046" w:type="dxa"/>
            <w:noWrap/>
            <w:hideMark/>
          </w:tcPr>
          <w:p w14:paraId="2C85B1AB" w14:textId="77777777" w:rsidR="00DD10CF" w:rsidRPr="008C49A5" w:rsidRDefault="00DD10CF" w:rsidP="008C49A5">
            <w:pPr>
              <w:jc w:val="both"/>
              <w:rPr>
                <w:rFonts w:cstheme="minorHAnsi"/>
              </w:rPr>
            </w:pPr>
            <w:r w:rsidRPr="008C49A5">
              <w:rPr>
                <w:rFonts w:cstheme="minorHAnsi"/>
              </w:rPr>
              <w:t>0.88</w:t>
            </w:r>
          </w:p>
        </w:tc>
        <w:tc>
          <w:tcPr>
            <w:tcW w:w="720" w:type="dxa"/>
            <w:noWrap/>
            <w:hideMark/>
          </w:tcPr>
          <w:p w14:paraId="1FFDC431" w14:textId="77777777" w:rsidR="00DD10CF" w:rsidRPr="008C49A5" w:rsidRDefault="00DD10CF" w:rsidP="008C49A5">
            <w:pPr>
              <w:jc w:val="both"/>
              <w:rPr>
                <w:rFonts w:cstheme="minorHAnsi"/>
              </w:rPr>
            </w:pPr>
            <w:r w:rsidRPr="008C49A5">
              <w:rPr>
                <w:rFonts w:cstheme="minorHAnsi"/>
              </w:rPr>
              <w:t>0.34</w:t>
            </w:r>
          </w:p>
        </w:tc>
        <w:tc>
          <w:tcPr>
            <w:tcW w:w="900" w:type="dxa"/>
            <w:noWrap/>
            <w:hideMark/>
          </w:tcPr>
          <w:p w14:paraId="655C41D2" w14:textId="77777777" w:rsidR="00DD10CF" w:rsidRPr="008C49A5" w:rsidRDefault="00DD10CF" w:rsidP="008C49A5">
            <w:pPr>
              <w:jc w:val="both"/>
              <w:rPr>
                <w:rFonts w:cstheme="minorHAnsi"/>
              </w:rPr>
            </w:pPr>
            <w:r w:rsidRPr="008C49A5">
              <w:rPr>
                <w:rFonts w:cstheme="minorHAnsi"/>
              </w:rPr>
              <w:t>3,797.80</w:t>
            </w:r>
          </w:p>
        </w:tc>
        <w:tc>
          <w:tcPr>
            <w:tcW w:w="810" w:type="dxa"/>
            <w:noWrap/>
            <w:hideMark/>
          </w:tcPr>
          <w:p w14:paraId="1F561412" w14:textId="77777777" w:rsidR="00DD10CF" w:rsidRPr="008C49A5" w:rsidRDefault="00DD10CF" w:rsidP="008C49A5">
            <w:pPr>
              <w:jc w:val="both"/>
              <w:rPr>
                <w:rFonts w:cstheme="minorHAnsi"/>
              </w:rPr>
            </w:pPr>
            <w:r w:rsidRPr="008C49A5">
              <w:rPr>
                <w:rFonts w:cstheme="minorHAnsi"/>
              </w:rPr>
              <w:t>23.48</w:t>
            </w:r>
          </w:p>
        </w:tc>
        <w:tc>
          <w:tcPr>
            <w:tcW w:w="900" w:type="dxa"/>
            <w:noWrap/>
            <w:hideMark/>
          </w:tcPr>
          <w:p w14:paraId="444CB6E7" w14:textId="77777777" w:rsidR="00DD10CF" w:rsidRPr="008C49A5" w:rsidRDefault="00DD10CF" w:rsidP="008C49A5">
            <w:pPr>
              <w:jc w:val="both"/>
              <w:rPr>
                <w:rFonts w:cstheme="minorHAnsi"/>
              </w:rPr>
            </w:pPr>
            <w:r w:rsidRPr="008C49A5">
              <w:rPr>
                <w:rFonts w:cstheme="minorHAnsi"/>
              </w:rPr>
              <w:t>891.60</w:t>
            </w:r>
          </w:p>
        </w:tc>
        <w:tc>
          <w:tcPr>
            <w:tcW w:w="630" w:type="dxa"/>
            <w:noWrap/>
            <w:hideMark/>
          </w:tcPr>
          <w:p w14:paraId="4E1196E1" w14:textId="77777777" w:rsidR="00DD10CF" w:rsidRPr="008C49A5" w:rsidRDefault="00DD10CF" w:rsidP="008C49A5">
            <w:pPr>
              <w:jc w:val="both"/>
              <w:rPr>
                <w:rFonts w:cstheme="minorHAnsi"/>
              </w:rPr>
            </w:pPr>
            <w:r w:rsidRPr="008C49A5">
              <w:rPr>
                <w:rFonts w:cstheme="minorHAnsi"/>
              </w:rPr>
              <w:t>876.20</w:t>
            </w:r>
          </w:p>
        </w:tc>
        <w:tc>
          <w:tcPr>
            <w:tcW w:w="990" w:type="dxa"/>
            <w:noWrap/>
            <w:hideMark/>
          </w:tcPr>
          <w:p w14:paraId="13D62336" w14:textId="77777777" w:rsidR="00DD10CF" w:rsidRPr="008C49A5" w:rsidRDefault="00DD10CF" w:rsidP="008C49A5">
            <w:pPr>
              <w:jc w:val="both"/>
              <w:rPr>
                <w:rFonts w:cstheme="minorHAnsi"/>
              </w:rPr>
            </w:pPr>
            <w:r w:rsidRPr="008C49A5">
              <w:rPr>
                <w:rFonts w:cstheme="minorHAnsi"/>
              </w:rPr>
              <w:t>1.76</w:t>
            </w:r>
          </w:p>
        </w:tc>
      </w:tr>
      <w:tr w:rsidR="008C49A5" w:rsidRPr="008C49A5" w14:paraId="5B4656EC" w14:textId="77777777" w:rsidTr="00DD10CF">
        <w:trPr>
          <w:trHeight w:val="290"/>
        </w:trPr>
        <w:tc>
          <w:tcPr>
            <w:tcW w:w="1435" w:type="dxa"/>
            <w:noWrap/>
            <w:hideMark/>
          </w:tcPr>
          <w:p w14:paraId="51E36B6E" w14:textId="77777777" w:rsidR="00DD10CF" w:rsidRPr="008C49A5" w:rsidRDefault="00DD10CF" w:rsidP="008C49A5">
            <w:pPr>
              <w:jc w:val="both"/>
              <w:rPr>
                <w:rFonts w:cstheme="minorHAnsi"/>
              </w:rPr>
            </w:pPr>
            <w:r w:rsidRPr="008C49A5">
              <w:rPr>
                <w:rFonts w:cstheme="minorHAnsi"/>
              </w:rPr>
              <w:t>Canadian Solar Inc (sector peer)</w:t>
            </w:r>
          </w:p>
        </w:tc>
        <w:tc>
          <w:tcPr>
            <w:tcW w:w="1080" w:type="dxa"/>
            <w:noWrap/>
            <w:hideMark/>
          </w:tcPr>
          <w:p w14:paraId="1C9D3E9E" w14:textId="77777777" w:rsidR="00DD10CF" w:rsidRPr="008C49A5" w:rsidRDefault="00DD10CF" w:rsidP="008C49A5">
            <w:pPr>
              <w:jc w:val="both"/>
              <w:rPr>
                <w:rFonts w:cstheme="minorHAnsi"/>
              </w:rPr>
            </w:pPr>
            <w:r w:rsidRPr="008C49A5">
              <w:rPr>
                <w:rFonts w:cstheme="minorHAnsi"/>
              </w:rPr>
              <w:t>TECHNOLOGY</w:t>
            </w:r>
          </w:p>
        </w:tc>
        <w:tc>
          <w:tcPr>
            <w:tcW w:w="1294" w:type="dxa"/>
            <w:noWrap/>
            <w:hideMark/>
          </w:tcPr>
          <w:p w14:paraId="5777FD34" w14:textId="77777777" w:rsidR="00DD10CF" w:rsidRPr="008C49A5" w:rsidRDefault="00DD10CF" w:rsidP="008C49A5">
            <w:pPr>
              <w:jc w:val="both"/>
              <w:rPr>
                <w:rFonts w:cstheme="minorHAnsi"/>
              </w:rPr>
            </w:pPr>
            <w:r w:rsidRPr="008C49A5">
              <w:rPr>
                <w:rFonts w:cstheme="minorHAnsi"/>
              </w:rPr>
              <w:t>1.04B</w:t>
            </w:r>
          </w:p>
        </w:tc>
        <w:tc>
          <w:tcPr>
            <w:tcW w:w="1046" w:type="dxa"/>
            <w:noWrap/>
            <w:hideMark/>
          </w:tcPr>
          <w:p w14:paraId="31398A82" w14:textId="77777777" w:rsidR="00DD10CF" w:rsidRPr="008C49A5" w:rsidRDefault="00DD10CF" w:rsidP="008C49A5">
            <w:pPr>
              <w:jc w:val="both"/>
              <w:rPr>
                <w:rFonts w:cstheme="minorHAnsi"/>
              </w:rPr>
            </w:pPr>
            <w:r w:rsidRPr="008C49A5">
              <w:rPr>
                <w:rFonts w:cstheme="minorHAnsi"/>
              </w:rPr>
              <w:t>5.07</w:t>
            </w:r>
          </w:p>
        </w:tc>
        <w:tc>
          <w:tcPr>
            <w:tcW w:w="720" w:type="dxa"/>
            <w:noWrap/>
            <w:hideMark/>
          </w:tcPr>
          <w:p w14:paraId="0783762C" w14:textId="77777777" w:rsidR="00DD10CF" w:rsidRPr="008C49A5" w:rsidRDefault="00DD10CF" w:rsidP="008C49A5">
            <w:pPr>
              <w:jc w:val="both"/>
              <w:rPr>
                <w:rFonts w:cstheme="minorHAnsi"/>
              </w:rPr>
            </w:pPr>
            <w:r w:rsidRPr="008C49A5">
              <w:rPr>
                <w:rFonts w:cstheme="minorHAnsi"/>
              </w:rPr>
              <w:t>0.18</w:t>
            </w:r>
          </w:p>
        </w:tc>
        <w:tc>
          <w:tcPr>
            <w:tcW w:w="900" w:type="dxa"/>
            <w:noWrap/>
            <w:hideMark/>
          </w:tcPr>
          <w:p w14:paraId="59591A66" w14:textId="77777777" w:rsidR="00DD10CF" w:rsidRPr="008C49A5" w:rsidRDefault="00DD10CF" w:rsidP="008C49A5">
            <w:pPr>
              <w:jc w:val="both"/>
              <w:rPr>
                <w:rFonts w:cstheme="minorHAnsi"/>
              </w:rPr>
            </w:pPr>
            <w:r w:rsidRPr="008C49A5">
              <w:rPr>
                <w:rFonts w:cstheme="minorHAnsi"/>
              </w:rPr>
              <w:t>7,241.46</w:t>
            </w:r>
          </w:p>
        </w:tc>
        <w:tc>
          <w:tcPr>
            <w:tcW w:w="810" w:type="dxa"/>
            <w:noWrap/>
            <w:hideMark/>
          </w:tcPr>
          <w:p w14:paraId="4A569F89" w14:textId="77777777" w:rsidR="00DD10CF" w:rsidRPr="008C49A5" w:rsidRDefault="00DD10CF" w:rsidP="008C49A5">
            <w:pPr>
              <w:jc w:val="both"/>
              <w:rPr>
                <w:rFonts w:cstheme="minorHAnsi"/>
              </w:rPr>
            </w:pPr>
            <w:r w:rsidRPr="008C49A5">
              <w:rPr>
                <w:rFonts w:cstheme="minorHAnsi"/>
              </w:rPr>
              <w:t>24.97</w:t>
            </w:r>
          </w:p>
        </w:tc>
        <w:tc>
          <w:tcPr>
            <w:tcW w:w="900" w:type="dxa"/>
            <w:noWrap/>
            <w:hideMark/>
          </w:tcPr>
          <w:p w14:paraId="7833147F" w14:textId="77777777" w:rsidR="00DD10CF" w:rsidRPr="008C49A5" w:rsidRDefault="00DD10CF" w:rsidP="008C49A5">
            <w:pPr>
              <w:jc w:val="both"/>
              <w:rPr>
                <w:rFonts w:cstheme="minorHAnsi"/>
              </w:rPr>
            </w:pPr>
            <w:r w:rsidRPr="008C49A5">
              <w:rPr>
                <w:rFonts w:cstheme="minorHAnsi"/>
              </w:rPr>
              <w:t>1,808.27</w:t>
            </w:r>
          </w:p>
        </w:tc>
        <w:tc>
          <w:tcPr>
            <w:tcW w:w="630" w:type="dxa"/>
            <w:noWrap/>
            <w:hideMark/>
          </w:tcPr>
          <w:p w14:paraId="5AA64226" w14:textId="77777777" w:rsidR="00DD10CF" w:rsidRPr="008C49A5" w:rsidRDefault="00DD10CF" w:rsidP="008C49A5">
            <w:pPr>
              <w:jc w:val="both"/>
              <w:rPr>
                <w:rFonts w:cstheme="minorHAnsi"/>
              </w:rPr>
            </w:pPr>
            <w:r w:rsidRPr="008C49A5">
              <w:rPr>
                <w:rFonts w:cstheme="minorHAnsi"/>
              </w:rPr>
              <w:t>1,279.98</w:t>
            </w:r>
          </w:p>
        </w:tc>
        <w:tc>
          <w:tcPr>
            <w:tcW w:w="990" w:type="dxa"/>
            <w:noWrap/>
            <w:hideMark/>
          </w:tcPr>
          <w:p w14:paraId="374488F1" w14:textId="77777777" w:rsidR="00DD10CF" w:rsidRPr="008C49A5" w:rsidRDefault="00DD10CF" w:rsidP="008C49A5">
            <w:pPr>
              <w:jc w:val="both"/>
              <w:rPr>
                <w:rFonts w:cstheme="minorHAnsi"/>
              </w:rPr>
            </w:pPr>
            <w:r w:rsidRPr="008C49A5">
              <w:rPr>
                <w:rFonts w:cstheme="minorHAnsi"/>
              </w:rPr>
              <w:t>41.27</w:t>
            </w:r>
          </w:p>
        </w:tc>
      </w:tr>
      <w:tr w:rsidR="008C49A5" w:rsidRPr="008C49A5" w14:paraId="27A92443" w14:textId="77777777" w:rsidTr="00DD10CF">
        <w:trPr>
          <w:trHeight w:val="290"/>
        </w:trPr>
        <w:tc>
          <w:tcPr>
            <w:tcW w:w="1435" w:type="dxa"/>
            <w:noWrap/>
            <w:hideMark/>
          </w:tcPr>
          <w:p w14:paraId="34817F9D" w14:textId="77777777" w:rsidR="00DD10CF" w:rsidRPr="008C49A5" w:rsidRDefault="00DD10CF" w:rsidP="008C49A5">
            <w:pPr>
              <w:jc w:val="both"/>
              <w:rPr>
                <w:rFonts w:cstheme="minorHAnsi"/>
              </w:rPr>
            </w:pPr>
            <w:r w:rsidRPr="008C49A5">
              <w:rPr>
                <w:rFonts w:cstheme="minorHAnsi"/>
              </w:rPr>
              <w:t>Rimini Street Inc. (sector peer)</w:t>
            </w:r>
          </w:p>
        </w:tc>
        <w:tc>
          <w:tcPr>
            <w:tcW w:w="1080" w:type="dxa"/>
            <w:noWrap/>
            <w:hideMark/>
          </w:tcPr>
          <w:p w14:paraId="670988BE" w14:textId="77777777" w:rsidR="00DD10CF" w:rsidRPr="008C49A5" w:rsidRDefault="00DD10CF" w:rsidP="008C49A5">
            <w:pPr>
              <w:jc w:val="both"/>
              <w:rPr>
                <w:rFonts w:cstheme="minorHAnsi"/>
              </w:rPr>
            </w:pPr>
            <w:r w:rsidRPr="008C49A5">
              <w:rPr>
                <w:rFonts w:cstheme="minorHAnsi"/>
              </w:rPr>
              <w:t>TECHNOLOGY</w:t>
            </w:r>
          </w:p>
        </w:tc>
        <w:tc>
          <w:tcPr>
            <w:tcW w:w="1294" w:type="dxa"/>
            <w:noWrap/>
            <w:hideMark/>
          </w:tcPr>
          <w:p w14:paraId="73CFD1A3" w14:textId="77777777" w:rsidR="00DD10CF" w:rsidRPr="008C49A5" w:rsidRDefault="00DD10CF" w:rsidP="008C49A5">
            <w:pPr>
              <w:jc w:val="both"/>
              <w:rPr>
                <w:rFonts w:cstheme="minorHAnsi"/>
              </w:rPr>
            </w:pPr>
            <w:r w:rsidRPr="008C49A5">
              <w:rPr>
                <w:rFonts w:cstheme="minorHAnsi"/>
              </w:rPr>
              <w:t>272.13M</w:t>
            </w:r>
          </w:p>
        </w:tc>
        <w:tc>
          <w:tcPr>
            <w:tcW w:w="1046" w:type="dxa"/>
            <w:noWrap/>
            <w:hideMark/>
          </w:tcPr>
          <w:p w14:paraId="06AA5AA5" w14:textId="77777777" w:rsidR="00DD10CF" w:rsidRPr="008C49A5" w:rsidRDefault="00DD10CF" w:rsidP="008C49A5">
            <w:pPr>
              <w:jc w:val="both"/>
              <w:rPr>
                <w:rFonts w:cstheme="minorHAnsi"/>
              </w:rPr>
            </w:pPr>
            <w:r w:rsidRPr="008C49A5">
              <w:rPr>
                <w:rFonts w:cstheme="minorHAnsi"/>
              </w:rPr>
              <w:t>12.40</w:t>
            </w:r>
          </w:p>
        </w:tc>
        <w:tc>
          <w:tcPr>
            <w:tcW w:w="720" w:type="dxa"/>
            <w:noWrap/>
            <w:hideMark/>
          </w:tcPr>
          <w:p w14:paraId="50642C4E" w14:textId="77777777" w:rsidR="00DD10CF" w:rsidRPr="008C49A5" w:rsidRDefault="00DD10CF" w:rsidP="008C49A5">
            <w:pPr>
              <w:jc w:val="both"/>
              <w:rPr>
                <w:rFonts w:cstheme="minorHAnsi"/>
              </w:rPr>
            </w:pPr>
            <w:r w:rsidRPr="008C49A5">
              <w:rPr>
                <w:rFonts w:cstheme="minorHAnsi"/>
              </w:rPr>
              <w:t>0.68</w:t>
            </w:r>
          </w:p>
        </w:tc>
        <w:tc>
          <w:tcPr>
            <w:tcW w:w="900" w:type="dxa"/>
            <w:noWrap/>
            <w:hideMark/>
          </w:tcPr>
          <w:p w14:paraId="2E04874D" w14:textId="77777777" w:rsidR="00DD10CF" w:rsidRPr="008C49A5" w:rsidRDefault="00DD10CF" w:rsidP="008C49A5">
            <w:pPr>
              <w:jc w:val="both"/>
              <w:rPr>
                <w:rFonts w:cstheme="minorHAnsi"/>
              </w:rPr>
            </w:pPr>
            <w:r w:rsidRPr="008C49A5">
              <w:rPr>
                <w:rFonts w:cstheme="minorHAnsi"/>
              </w:rPr>
              <w:t>432.73</w:t>
            </w:r>
          </w:p>
        </w:tc>
        <w:tc>
          <w:tcPr>
            <w:tcW w:w="810" w:type="dxa"/>
            <w:noWrap/>
            <w:hideMark/>
          </w:tcPr>
          <w:p w14:paraId="7EC75C13" w14:textId="77777777" w:rsidR="00DD10CF" w:rsidRPr="008C49A5" w:rsidRDefault="00DD10CF" w:rsidP="008C49A5">
            <w:pPr>
              <w:jc w:val="both"/>
              <w:rPr>
                <w:rFonts w:cstheme="minorHAnsi"/>
              </w:rPr>
            </w:pPr>
            <w:r w:rsidRPr="008C49A5">
              <w:rPr>
                <w:rFonts w:cstheme="minorHAnsi"/>
              </w:rPr>
              <w:t>61.62</w:t>
            </w:r>
          </w:p>
        </w:tc>
        <w:tc>
          <w:tcPr>
            <w:tcW w:w="900" w:type="dxa"/>
            <w:noWrap/>
            <w:hideMark/>
          </w:tcPr>
          <w:p w14:paraId="41245391" w14:textId="77777777" w:rsidR="00DD10CF" w:rsidRPr="008C49A5" w:rsidRDefault="00DD10CF" w:rsidP="008C49A5">
            <w:pPr>
              <w:jc w:val="both"/>
              <w:rPr>
                <w:rFonts w:cstheme="minorHAnsi"/>
              </w:rPr>
            </w:pPr>
            <w:r w:rsidRPr="008C49A5">
              <w:rPr>
                <w:rFonts w:cstheme="minorHAnsi"/>
              </w:rPr>
              <w:t>266.65</w:t>
            </w:r>
          </w:p>
        </w:tc>
        <w:tc>
          <w:tcPr>
            <w:tcW w:w="630" w:type="dxa"/>
            <w:noWrap/>
            <w:hideMark/>
          </w:tcPr>
          <w:p w14:paraId="29A6B586" w14:textId="77777777" w:rsidR="00DD10CF" w:rsidRPr="008C49A5" w:rsidRDefault="00DD10CF" w:rsidP="008C49A5">
            <w:pPr>
              <w:jc w:val="both"/>
              <w:rPr>
                <w:rFonts w:cstheme="minorHAnsi"/>
              </w:rPr>
            </w:pPr>
            <w:r w:rsidRPr="008C49A5">
              <w:rPr>
                <w:rFonts w:cstheme="minorHAnsi"/>
              </w:rPr>
              <w:t>268.98</w:t>
            </w:r>
          </w:p>
        </w:tc>
        <w:tc>
          <w:tcPr>
            <w:tcW w:w="990" w:type="dxa"/>
            <w:noWrap/>
            <w:hideMark/>
          </w:tcPr>
          <w:p w14:paraId="7B8E92F8" w14:textId="77777777" w:rsidR="00DD10CF" w:rsidRPr="008C49A5" w:rsidRDefault="00DD10CF" w:rsidP="008C49A5">
            <w:pPr>
              <w:jc w:val="both"/>
              <w:rPr>
                <w:rFonts w:cstheme="minorHAnsi"/>
              </w:rPr>
            </w:pPr>
            <w:r w:rsidRPr="008C49A5">
              <w:rPr>
                <w:rFonts w:cstheme="minorHAnsi"/>
              </w:rPr>
              <w:t>-0.87</w:t>
            </w:r>
          </w:p>
        </w:tc>
      </w:tr>
      <w:tr w:rsidR="008C49A5" w:rsidRPr="008C49A5" w14:paraId="61630551" w14:textId="77777777" w:rsidTr="00DD10CF">
        <w:trPr>
          <w:trHeight w:val="290"/>
        </w:trPr>
        <w:tc>
          <w:tcPr>
            <w:tcW w:w="1435" w:type="dxa"/>
            <w:noWrap/>
            <w:hideMark/>
          </w:tcPr>
          <w:p w14:paraId="1EE0F509" w14:textId="77777777" w:rsidR="00DD10CF" w:rsidRPr="008C49A5" w:rsidRDefault="00DD10CF" w:rsidP="008C49A5">
            <w:pPr>
              <w:jc w:val="both"/>
              <w:rPr>
                <w:rFonts w:cstheme="minorHAnsi"/>
              </w:rPr>
            </w:pPr>
            <w:r w:rsidRPr="008C49A5">
              <w:rPr>
                <w:rFonts w:cstheme="minorHAnsi"/>
              </w:rPr>
              <w:t>Telesat Corp (sector peer)</w:t>
            </w:r>
          </w:p>
        </w:tc>
        <w:tc>
          <w:tcPr>
            <w:tcW w:w="1080" w:type="dxa"/>
            <w:noWrap/>
            <w:hideMark/>
          </w:tcPr>
          <w:p w14:paraId="372513D1" w14:textId="77777777" w:rsidR="00DD10CF" w:rsidRPr="008C49A5" w:rsidRDefault="00DD10CF" w:rsidP="008C49A5">
            <w:pPr>
              <w:jc w:val="both"/>
              <w:rPr>
                <w:rFonts w:cstheme="minorHAnsi"/>
              </w:rPr>
            </w:pPr>
            <w:r w:rsidRPr="008C49A5">
              <w:rPr>
                <w:rFonts w:cstheme="minorHAnsi"/>
              </w:rPr>
              <w:t>TECHNOLOGY</w:t>
            </w:r>
          </w:p>
        </w:tc>
        <w:tc>
          <w:tcPr>
            <w:tcW w:w="1294" w:type="dxa"/>
            <w:noWrap/>
            <w:hideMark/>
          </w:tcPr>
          <w:p w14:paraId="2475FF96" w14:textId="77777777" w:rsidR="00DD10CF" w:rsidRPr="008C49A5" w:rsidRDefault="00DD10CF" w:rsidP="008C49A5">
            <w:pPr>
              <w:jc w:val="both"/>
              <w:rPr>
                <w:rFonts w:cstheme="minorHAnsi"/>
              </w:rPr>
            </w:pPr>
            <w:r w:rsidRPr="008C49A5">
              <w:rPr>
                <w:rFonts w:cstheme="minorHAnsi"/>
              </w:rPr>
              <w:t>111.0M</w:t>
            </w:r>
          </w:p>
        </w:tc>
        <w:tc>
          <w:tcPr>
            <w:tcW w:w="1046" w:type="dxa"/>
            <w:noWrap/>
            <w:hideMark/>
          </w:tcPr>
          <w:p w14:paraId="5DDADBFB" w14:textId="77777777" w:rsidR="00DD10CF" w:rsidRPr="008C49A5" w:rsidRDefault="00DD10CF" w:rsidP="008C49A5">
            <w:pPr>
              <w:jc w:val="both"/>
              <w:rPr>
                <w:rFonts w:cstheme="minorHAnsi"/>
              </w:rPr>
            </w:pPr>
            <w:r w:rsidRPr="008C49A5">
              <w:rPr>
                <w:rFonts w:cstheme="minorHAnsi"/>
              </w:rPr>
              <w:t>1.10</w:t>
            </w:r>
          </w:p>
        </w:tc>
        <w:tc>
          <w:tcPr>
            <w:tcW w:w="720" w:type="dxa"/>
            <w:noWrap/>
            <w:hideMark/>
          </w:tcPr>
          <w:p w14:paraId="303618C2" w14:textId="77777777" w:rsidR="00DD10CF" w:rsidRPr="008C49A5" w:rsidRDefault="00DD10CF" w:rsidP="008C49A5">
            <w:pPr>
              <w:jc w:val="both"/>
              <w:rPr>
                <w:rFonts w:cstheme="minorHAnsi"/>
              </w:rPr>
            </w:pPr>
            <w:r w:rsidRPr="008C49A5">
              <w:rPr>
                <w:rFonts w:cstheme="minorHAnsi"/>
              </w:rPr>
              <w:t>0.23</w:t>
            </w:r>
          </w:p>
        </w:tc>
        <w:tc>
          <w:tcPr>
            <w:tcW w:w="900" w:type="dxa"/>
            <w:noWrap/>
            <w:hideMark/>
          </w:tcPr>
          <w:p w14:paraId="26608586" w14:textId="77777777" w:rsidR="00DD10CF" w:rsidRPr="008C49A5" w:rsidRDefault="00DD10CF" w:rsidP="008C49A5">
            <w:pPr>
              <w:jc w:val="both"/>
              <w:rPr>
                <w:rFonts w:cstheme="minorHAnsi"/>
              </w:rPr>
            </w:pPr>
            <w:r w:rsidRPr="008C49A5">
              <w:rPr>
                <w:rFonts w:cstheme="minorHAnsi"/>
              </w:rPr>
              <w:t>499.02</w:t>
            </w:r>
          </w:p>
        </w:tc>
        <w:tc>
          <w:tcPr>
            <w:tcW w:w="810" w:type="dxa"/>
            <w:noWrap/>
            <w:hideMark/>
          </w:tcPr>
          <w:p w14:paraId="5FEF1E40" w14:textId="77777777" w:rsidR="00DD10CF" w:rsidRPr="008C49A5" w:rsidRDefault="00DD10CF" w:rsidP="008C49A5">
            <w:pPr>
              <w:jc w:val="both"/>
              <w:rPr>
                <w:rFonts w:cstheme="minorHAnsi"/>
              </w:rPr>
            </w:pPr>
            <w:r w:rsidRPr="008C49A5">
              <w:rPr>
                <w:rFonts w:cstheme="minorHAnsi"/>
              </w:rPr>
              <w:t>49.95</w:t>
            </w:r>
          </w:p>
        </w:tc>
        <w:tc>
          <w:tcPr>
            <w:tcW w:w="900" w:type="dxa"/>
            <w:noWrap/>
            <w:hideMark/>
          </w:tcPr>
          <w:p w14:paraId="73685C68" w14:textId="77777777" w:rsidR="00DD10CF" w:rsidRPr="008C49A5" w:rsidRDefault="00DD10CF" w:rsidP="008C49A5">
            <w:pPr>
              <w:jc w:val="both"/>
              <w:rPr>
                <w:rFonts w:cstheme="minorHAnsi"/>
              </w:rPr>
            </w:pPr>
            <w:r w:rsidRPr="008C49A5">
              <w:rPr>
                <w:rFonts w:cstheme="minorHAnsi"/>
              </w:rPr>
              <w:t>249.28</w:t>
            </w:r>
          </w:p>
        </w:tc>
        <w:tc>
          <w:tcPr>
            <w:tcW w:w="630" w:type="dxa"/>
            <w:noWrap/>
            <w:hideMark/>
          </w:tcPr>
          <w:p w14:paraId="05ADF5D9" w14:textId="77777777" w:rsidR="00DD10CF" w:rsidRPr="008C49A5" w:rsidRDefault="00DD10CF" w:rsidP="008C49A5">
            <w:pPr>
              <w:jc w:val="both"/>
              <w:rPr>
                <w:rFonts w:cstheme="minorHAnsi"/>
              </w:rPr>
            </w:pPr>
            <w:r w:rsidRPr="008C49A5">
              <w:rPr>
                <w:rFonts w:cstheme="minorHAnsi"/>
              </w:rPr>
              <w:t>260.78</w:t>
            </w:r>
          </w:p>
        </w:tc>
        <w:tc>
          <w:tcPr>
            <w:tcW w:w="990" w:type="dxa"/>
            <w:noWrap/>
            <w:hideMark/>
          </w:tcPr>
          <w:p w14:paraId="7DBD473E" w14:textId="77777777" w:rsidR="00DD10CF" w:rsidRPr="008C49A5" w:rsidRDefault="00DD10CF" w:rsidP="008C49A5">
            <w:pPr>
              <w:jc w:val="both"/>
              <w:rPr>
                <w:rFonts w:cstheme="minorHAnsi"/>
              </w:rPr>
            </w:pPr>
            <w:r w:rsidRPr="008C49A5">
              <w:rPr>
                <w:rFonts w:cstheme="minorHAnsi"/>
              </w:rPr>
              <w:t>-4.41</w:t>
            </w:r>
          </w:p>
        </w:tc>
      </w:tr>
      <w:tr w:rsidR="008C49A5" w:rsidRPr="008C49A5" w14:paraId="47FB41D4" w14:textId="77777777" w:rsidTr="00DD10CF">
        <w:trPr>
          <w:trHeight w:val="290"/>
        </w:trPr>
        <w:tc>
          <w:tcPr>
            <w:tcW w:w="1435" w:type="dxa"/>
            <w:noWrap/>
            <w:hideMark/>
          </w:tcPr>
          <w:p w14:paraId="2ECFCE91" w14:textId="77777777" w:rsidR="00DD10CF" w:rsidRPr="008C49A5" w:rsidRDefault="00DD10CF" w:rsidP="008C49A5">
            <w:pPr>
              <w:jc w:val="both"/>
              <w:rPr>
                <w:rFonts w:cstheme="minorHAnsi"/>
              </w:rPr>
            </w:pPr>
            <w:r w:rsidRPr="008C49A5">
              <w:rPr>
                <w:rFonts w:cstheme="minorHAnsi"/>
              </w:rPr>
              <w:t>SECTOR AVERAGE</w:t>
            </w:r>
          </w:p>
        </w:tc>
        <w:tc>
          <w:tcPr>
            <w:tcW w:w="1080" w:type="dxa"/>
            <w:noWrap/>
            <w:hideMark/>
          </w:tcPr>
          <w:p w14:paraId="753457DB" w14:textId="77777777" w:rsidR="00DD10CF" w:rsidRPr="008C49A5" w:rsidRDefault="00DD10CF" w:rsidP="008C49A5">
            <w:pPr>
              <w:jc w:val="both"/>
              <w:rPr>
                <w:rFonts w:cstheme="minorHAnsi"/>
              </w:rPr>
            </w:pPr>
          </w:p>
        </w:tc>
        <w:tc>
          <w:tcPr>
            <w:tcW w:w="1294" w:type="dxa"/>
            <w:noWrap/>
            <w:hideMark/>
          </w:tcPr>
          <w:p w14:paraId="741B5BD3" w14:textId="77777777" w:rsidR="00DD10CF" w:rsidRPr="008C49A5" w:rsidRDefault="00DD10CF" w:rsidP="008C49A5">
            <w:pPr>
              <w:jc w:val="both"/>
              <w:rPr>
                <w:rFonts w:cstheme="minorHAnsi"/>
              </w:rPr>
            </w:pPr>
          </w:p>
        </w:tc>
        <w:tc>
          <w:tcPr>
            <w:tcW w:w="1046" w:type="dxa"/>
            <w:noWrap/>
            <w:hideMark/>
          </w:tcPr>
          <w:p w14:paraId="589EA3D0" w14:textId="77777777" w:rsidR="00DD10CF" w:rsidRPr="008C49A5" w:rsidRDefault="00DD10CF" w:rsidP="008C49A5">
            <w:pPr>
              <w:jc w:val="both"/>
              <w:rPr>
                <w:rFonts w:cstheme="minorHAnsi"/>
              </w:rPr>
            </w:pPr>
            <w:r w:rsidRPr="008C49A5">
              <w:rPr>
                <w:rFonts w:cstheme="minorHAnsi"/>
              </w:rPr>
              <w:t>4.86</w:t>
            </w:r>
          </w:p>
        </w:tc>
        <w:tc>
          <w:tcPr>
            <w:tcW w:w="720" w:type="dxa"/>
            <w:noWrap/>
            <w:hideMark/>
          </w:tcPr>
          <w:p w14:paraId="58FF4DA2" w14:textId="77777777" w:rsidR="00DD10CF" w:rsidRPr="008C49A5" w:rsidRDefault="00DD10CF" w:rsidP="008C49A5">
            <w:pPr>
              <w:jc w:val="both"/>
              <w:rPr>
                <w:rFonts w:cstheme="minorHAnsi"/>
              </w:rPr>
            </w:pPr>
            <w:r w:rsidRPr="008C49A5">
              <w:rPr>
                <w:rFonts w:cstheme="minorHAnsi"/>
              </w:rPr>
              <w:t>0.36</w:t>
            </w:r>
          </w:p>
        </w:tc>
        <w:tc>
          <w:tcPr>
            <w:tcW w:w="900" w:type="dxa"/>
            <w:noWrap/>
            <w:hideMark/>
          </w:tcPr>
          <w:p w14:paraId="55522F58" w14:textId="77777777" w:rsidR="00DD10CF" w:rsidRPr="008C49A5" w:rsidRDefault="00DD10CF" w:rsidP="008C49A5">
            <w:pPr>
              <w:jc w:val="both"/>
              <w:rPr>
                <w:rFonts w:cstheme="minorHAnsi"/>
              </w:rPr>
            </w:pPr>
          </w:p>
        </w:tc>
        <w:tc>
          <w:tcPr>
            <w:tcW w:w="810" w:type="dxa"/>
            <w:noWrap/>
            <w:hideMark/>
          </w:tcPr>
          <w:p w14:paraId="4CEF2799" w14:textId="77777777" w:rsidR="00DD10CF" w:rsidRPr="008C49A5" w:rsidRDefault="00DD10CF" w:rsidP="008C49A5">
            <w:pPr>
              <w:jc w:val="both"/>
              <w:rPr>
                <w:rFonts w:cstheme="minorHAnsi"/>
              </w:rPr>
            </w:pPr>
          </w:p>
        </w:tc>
        <w:tc>
          <w:tcPr>
            <w:tcW w:w="900" w:type="dxa"/>
            <w:noWrap/>
            <w:hideMark/>
          </w:tcPr>
          <w:p w14:paraId="0DCEF040" w14:textId="77777777" w:rsidR="00DD10CF" w:rsidRPr="008C49A5" w:rsidRDefault="00DD10CF" w:rsidP="008C49A5">
            <w:pPr>
              <w:jc w:val="both"/>
              <w:rPr>
                <w:rFonts w:cstheme="minorHAnsi"/>
              </w:rPr>
            </w:pPr>
          </w:p>
        </w:tc>
        <w:tc>
          <w:tcPr>
            <w:tcW w:w="630" w:type="dxa"/>
            <w:noWrap/>
            <w:hideMark/>
          </w:tcPr>
          <w:p w14:paraId="56E38EA8" w14:textId="77777777" w:rsidR="00DD10CF" w:rsidRPr="008C49A5" w:rsidRDefault="00DD10CF" w:rsidP="008C49A5">
            <w:pPr>
              <w:jc w:val="both"/>
              <w:rPr>
                <w:rFonts w:cstheme="minorHAnsi"/>
              </w:rPr>
            </w:pPr>
          </w:p>
        </w:tc>
        <w:tc>
          <w:tcPr>
            <w:tcW w:w="990" w:type="dxa"/>
            <w:noWrap/>
            <w:hideMark/>
          </w:tcPr>
          <w:p w14:paraId="72E4A0D7" w14:textId="77777777" w:rsidR="00DD10CF" w:rsidRPr="008C49A5" w:rsidRDefault="00DD10CF" w:rsidP="008C49A5">
            <w:pPr>
              <w:jc w:val="both"/>
              <w:rPr>
                <w:rFonts w:cstheme="minorHAnsi"/>
              </w:rPr>
            </w:pPr>
            <w:r w:rsidRPr="008C49A5">
              <w:rPr>
                <w:rFonts w:cstheme="minorHAnsi"/>
              </w:rPr>
              <w:t>9.44</w:t>
            </w:r>
          </w:p>
        </w:tc>
      </w:tr>
    </w:tbl>
    <w:p w14:paraId="292F47CA" w14:textId="77777777" w:rsidR="00A02920" w:rsidRPr="008C49A5" w:rsidRDefault="00A02920" w:rsidP="008C49A5">
      <w:pPr>
        <w:tabs>
          <w:tab w:val="num" w:pos="720"/>
        </w:tabs>
        <w:jc w:val="both"/>
        <w:rPr>
          <w:rFonts w:cstheme="minorHAnsi"/>
          <w:b/>
          <w:bCs/>
        </w:rPr>
      </w:pPr>
    </w:p>
    <w:p w14:paraId="7D789504" w14:textId="77777777" w:rsidR="004A4B76" w:rsidRDefault="004A4B76" w:rsidP="008C49A5">
      <w:pPr>
        <w:tabs>
          <w:tab w:val="num" w:pos="720"/>
        </w:tabs>
        <w:spacing w:line="240" w:lineRule="auto"/>
        <w:jc w:val="both"/>
        <w:rPr>
          <w:rFonts w:cstheme="minorHAnsi"/>
          <w:b/>
          <w:bCs/>
        </w:rPr>
      </w:pPr>
    </w:p>
    <w:p w14:paraId="25C8AFD1" w14:textId="77777777" w:rsidR="004A4B76" w:rsidRDefault="004A4B76" w:rsidP="008C49A5">
      <w:pPr>
        <w:tabs>
          <w:tab w:val="num" w:pos="720"/>
        </w:tabs>
        <w:spacing w:line="240" w:lineRule="auto"/>
        <w:jc w:val="both"/>
        <w:rPr>
          <w:rFonts w:cstheme="minorHAnsi"/>
          <w:b/>
          <w:bCs/>
        </w:rPr>
      </w:pPr>
    </w:p>
    <w:p w14:paraId="6D145A1B" w14:textId="77777777" w:rsidR="004A4B76" w:rsidRDefault="004A4B76" w:rsidP="008C49A5">
      <w:pPr>
        <w:tabs>
          <w:tab w:val="num" w:pos="720"/>
        </w:tabs>
        <w:spacing w:line="240" w:lineRule="auto"/>
        <w:jc w:val="both"/>
        <w:rPr>
          <w:rFonts w:cstheme="minorHAnsi"/>
          <w:b/>
          <w:bCs/>
        </w:rPr>
      </w:pPr>
    </w:p>
    <w:p w14:paraId="67266549" w14:textId="1F0DBCE5" w:rsidR="00B96AE7" w:rsidRPr="008C49A5" w:rsidRDefault="00B96AE7" w:rsidP="008C49A5">
      <w:pPr>
        <w:tabs>
          <w:tab w:val="num" w:pos="720"/>
        </w:tabs>
        <w:spacing w:line="240" w:lineRule="auto"/>
        <w:jc w:val="both"/>
        <w:rPr>
          <w:rFonts w:cstheme="minorHAnsi"/>
          <w:b/>
          <w:bCs/>
        </w:rPr>
      </w:pPr>
      <w:r w:rsidRPr="008C49A5">
        <w:rPr>
          <w:rFonts w:cstheme="minorHAnsi"/>
          <w:b/>
          <w:bCs/>
        </w:rPr>
        <w:lastRenderedPageBreak/>
        <w:t>GROSS PROFIT COMPARISON</w:t>
      </w:r>
      <w:r w:rsidRPr="001032B1">
        <w:rPr>
          <w:rFonts w:cstheme="minorHAnsi"/>
          <w:b/>
          <w:bCs/>
        </w:rPr>
        <w:t>:</w:t>
      </w:r>
    </w:p>
    <w:p w14:paraId="1EF8AE76" w14:textId="77777777" w:rsidR="00B96AE7" w:rsidRPr="00B96AE7" w:rsidRDefault="00B96AE7" w:rsidP="008C49A5">
      <w:pPr>
        <w:tabs>
          <w:tab w:val="num" w:pos="720"/>
        </w:tabs>
        <w:spacing w:line="240" w:lineRule="auto"/>
        <w:jc w:val="both"/>
        <w:rPr>
          <w:rFonts w:cstheme="minorHAnsi"/>
        </w:rPr>
      </w:pPr>
      <w:r w:rsidRPr="00B96AE7">
        <w:rPr>
          <w:rFonts w:cstheme="minorHAnsi"/>
          <w:b/>
          <w:bCs/>
        </w:rPr>
        <w:t>Diebold Nixdorf Inc</w:t>
      </w:r>
      <w:r w:rsidRPr="00B96AE7">
        <w:rPr>
          <w:rFonts w:cstheme="minorHAnsi"/>
        </w:rPr>
        <w:t>:</w:t>
      </w:r>
    </w:p>
    <w:p w14:paraId="4549A455" w14:textId="77777777" w:rsidR="00B96AE7" w:rsidRPr="00B96AE7" w:rsidRDefault="00B96AE7" w:rsidP="008C49A5">
      <w:pPr>
        <w:numPr>
          <w:ilvl w:val="0"/>
          <w:numId w:val="13"/>
        </w:numPr>
        <w:spacing w:line="240" w:lineRule="auto"/>
        <w:jc w:val="both"/>
        <w:rPr>
          <w:rFonts w:cstheme="minorHAnsi"/>
        </w:rPr>
      </w:pPr>
      <w:r w:rsidRPr="00B96AE7">
        <w:rPr>
          <w:rFonts w:cstheme="minorHAnsi"/>
        </w:rPr>
        <w:t>Gross Profit (GP): $891.60M</w:t>
      </w:r>
    </w:p>
    <w:p w14:paraId="353224F3" w14:textId="77777777" w:rsidR="00B96AE7" w:rsidRPr="00B96AE7" w:rsidRDefault="00B96AE7" w:rsidP="008C49A5">
      <w:pPr>
        <w:numPr>
          <w:ilvl w:val="0"/>
          <w:numId w:val="13"/>
        </w:numPr>
        <w:spacing w:line="240" w:lineRule="auto"/>
        <w:jc w:val="both"/>
        <w:rPr>
          <w:rFonts w:cstheme="minorHAnsi"/>
        </w:rPr>
      </w:pPr>
      <w:r w:rsidRPr="00B96AE7">
        <w:rPr>
          <w:rFonts w:cstheme="minorHAnsi"/>
        </w:rPr>
        <w:t>Gross Profit Growth (GPG): 1.76%</w:t>
      </w:r>
    </w:p>
    <w:p w14:paraId="0DEFB91B" w14:textId="77777777" w:rsidR="00B96AE7" w:rsidRPr="00B96AE7" w:rsidRDefault="00B96AE7" w:rsidP="008C49A5">
      <w:pPr>
        <w:tabs>
          <w:tab w:val="num" w:pos="720"/>
        </w:tabs>
        <w:spacing w:line="240" w:lineRule="auto"/>
        <w:jc w:val="both"/>
        <w:rPr>
          <w:rFonts w:cstheme="minorHAnsi"/>
        </w:rPr>
      </w:pPr>
      <w:r w:rsidRPr="00B96AE7">
        <w:rPr>
          <w:rFonts w:cstheme="minorHAnsi"/>
          <w:b/>
          <w:bCs/>
        </w:rPr>
        <w:t>Canadian Solar Inc</w:t>
      </w:r>
      <w:r w:rsidRPr="00B96AE7">
        <w:rPr>
          <w:rFonts w:cstheme="minorHAnsi"/>
        </w:rPr>
        <w:t>:</w:t>
      </w:r>
    </w:p>
    <w:p w14:paraId="409CF735" w14:textId="77777777" w:rsidR="00B96AE7" w:rsidRPr="00B96AE7" w:rsidRDefault="00B96AE7" w:rsidP="008C49A5">
      <w:pPr>
        <w:numPr>
          <w:ilvl w:val="0"/>
          <w:numId w:val="14"/>
        </w:numPr>
        <w:spacing w:line="240" w:lineRule="auto"/>
        <w:jc w:val="both"/>
        <w:rPr>
          <w:rFonts w:cstheme="minorHAnsi"/>
        </w:rPr>
      </w:pPr>
      <w:r w:rsidRPr="00B96AE7">
        <w:rPr>
          <w:rFonts w:cstheme="minorHAnsi"/>
        </w:rPr>
        <w:t>GP: $1,808.27M</w:t>
      </w:r>
    </w:p>
    <w:p w14:paraId="60C48125" w14:textId="77777777" w:rsidR="00B96AE7" w:rsidRPr="00B96AE7" w:rsidRDefault="00B96AE7" w:rsidP="008C49A5">
      <w:pPr>
        <w:numPr>
          <w:ilvl w:val="0"/>
          <w:numId w:val="14"/>
        </w:numPr>
        <w:spacing w:line="240" w:lineRule="auto"/>
        <w:jc w:val="both"/>
        <w:rPr>
          <w:rFonts w:cstheme="minorHAnsi"/>
        </w:rPr>
      </w:pPr>
      <w:r w:rsidRPr="00B96AE7">
        <w:rPr>
          <w:rFonts w:cstheme="minorHAnsi"/>
        </w:rPr>
        <w:t>GPG: 41.27%</w:t>
      </w:r>
    </w:p>
    <w:p w14:paraId="21C18895" w14:textId="77777777" w:rsidR="00B96AE7" w:rsidRPr="00B96AE7" w:rsidRDefault="00B96AE7" w:rsidP="008C49A5">
      <w:pPr>
        <w:tabs>
          <w:tab w:val="num" w:pos="720"/>
        </w:tabs>
        <w:spacing w:line="240" w:lineRule="auto"/>
        <w:jc w:val="both"/>
        <w:rPr>
          <w:rFonts w:cstheme="minorHAnsi"/>
        </w:rPr>
      </w:pPr>
      <w:r w:rsidRPr="00B96AE7">
        <w:rPr>
          <w:rFonts w:cstheme="minorHAnsi"/>
          <w:b/>
          <w:bCs/>
        </w:rPr>
        <w:t>Rimini Street Inc</w:t>
      </w:r>
      <w:r w:rsidRPr="00B96AE7">
        <w:rPr>
          <w:rFonts w:cstheme="minorHAnsi"/>
        </w:rPr>
        <w:t>:</w:t>
      </w:r>
    </w:p>
    <w:p w14:paraId="18A191A0" w14:textId="77777777" w:rsidR="00B96AE7" w:rsidRPr="00B96AE7" w:rsidRDefault="00B96AE7" w:rsidP="008C49A5">
      <w:pPr>
        <w:numPr>
          <w:ilvl w:val="0"/>
          <w:numId w:val="15"/>
        </w:numPr>
        <w:spacing w:line="240" w:lineRule="auto"/>
        <w:jc w:val="both"/>
        <w:rPr>
          <w:rFonts w:cstheme="minorHAnsi"/>
        </w:rPr>
      </w:pPr>
      <w:r w:rsidRPr="00B96AE7">
        <w:rPr>
          <w:rFonts w:cstheme="minorHAnsi"/>
        </w:rPr>
        <w:t>GP: $266.65M</w:t>
      </w:r>
    </w:p>
    <w:p w14:paraId="095C6445" w14:textId="77777777" w:rsidR="00B96AE7" w:rsidRPr="00B96AE7" w:rsidRDefault="00B96AE7" w:rsidP="008C49A5">
      <w:pPr>
        <w:numPr>
          <w:ilvl w:val="0"/>
          <w:numId w:val="15"/>
        </w:numPr>
        <w:spacing w:line="240" w:lineRule="auto"/>
        <w:jc w:val="both"/>
        <w:rPr>
          <w:rFonts w:cstheme="minorHAnsi"/>
        </w:rPr>
      </w:pPr>
      <w:r w:rsidRPr="00B96AE7">
        <w:rPr>
          <w:rFonts w:cstheme="minorHAnsi"/>
        </w:rPr>
        <w:t>GPG: -0.87%</w:t>
      </w:r>
    </w:p>
    <w:p w14:paraId="7F9A7D1C" w14:textId="7FB953A3" w:rsidR="00B96AE7" w:rsidRPr="00B96AE7" w:rsidRDefault="00B96AE7" w:rsidP="008C49A5">
      <w:pPr>
        <w:tabs>
          <w:tab w:val="num" w:pos="720"/>
        </w:tabs>
        <w:spacing w:line="240" w:lineRule="auto"/>
        <w:jc w:val="both"/>
        <w:rPr>
          <w:rFonts w:cstheme="minorHAnsi"/>
        </w:rPr>
      </w:pPr>
      <w:r w:rsidRPr="008C49A5">
        <w:rPr>
          <w:rFonts w:cstheme="minorHAnsi"/>
          <w:b/>
          <w:bCs/>
        </w:rPr>
        <w:t>T</w:t>
      </w:r>
      <w:r w:rsidRPr="00B96AE7">
        <w:rPr>
          <w:rFonts w:cstheme="minorHAnsi"/>
          <w:b/>
          <w:bCs/>
        </w:rPr>
        <w:t>elesat Corp</w:t>
      </w:r>
      <w:r w:rsidRPr="00B96AE7">
        <w:rPr>
          <w:rFonts w:cstheme="minorHAnsi"/>
        </w:rPr>
        <w:t>:</w:t>
      </w:r>
    </w:p>
    <w:p w14:paraId="64BE95AD" w14:textId="77777777" w:rsidR="00B96AE7" w:rsidRPr="00B96AE7" w:rsidRDefault="00B96AE7" w:rsidP="008C49A5">
      <w:pPr>
        <w:numPr>
          <w:ilvl w:val="0"/>
          <w:numId w:val="16"/>
        </w:numPr>
        <w:spacing w:line="240" w:lineRule="auto"/>
        <w:jc w:val="both"/>
        <w:rPr>
          <w:rFonts w:cstheme="minorHAnsi"/>
        </w:rPr>
      </w:pPr>
      <w:r w:rsidRPr="00B96AE7">
        <w:rPr>
          <w:rFonts w:cstheme="minorHAnsi"/>
        </w:rPr>
        <w:t>GP: $249.28M</w:t>
      </w:r>
    </w:p>
    <w:p w14:paraId="7E810D72" w14:textId="77777777" w:rsidR="00B96AE7" w:rsidRPr="00B96AE7" w:rsidRDefault="00B96AE7" w:rsidP="008C49A5">
      <w:pPr>
        <w:numPr>
          <w:ilvl w:val="0"/>
          <w:numId w:val="16"/>
        </w:numPr>
        <w:spacing w:line="240" w:lineRule="auto"/>
        <w:jc w:val="both"/>
        <w:rPr>
          <w:rFonts w:cstheme="minorHAnsi"/>
        </w:rPr>
      </w:pPr>
      <w:r w:rsidRPr="00B96AE7">
        <w:rPr>
          <w:rFonts w:cstheme="minorHAnsi"/>
        </w:rPr>
        <w:t>GPG: -4.41%</w:t>
      </w:r>
    </w:p>
    <w:p w14:paraId="5A5C115A" w14:textId="77777777" w:rsidR="000673FB" w:rsidRPr="008C49A5" w:rsidRDefault="000673FB" w:rsidP="008C49A5">
      <w:pPr>
        <w:tabs>
          <w:tab w:val="num" w:pos="720"/>
        </w:tabs>
        <w:jc w:val="both"/>
        <w:rPr>
          <w:rFonts w:cstheme="minorHAnsi"/>
        </w:rPr>
      </w:pPr>
    </w:p>
    <w:p w14:paraId="275FF7B1" w14:textId="77777777" w:rsidR="00A45768" w:rsidRPr="00A45768" w:rsidRDefault="00A45768" w:rsidP="008C49A5">
      <w:pPr>
        <w:jc w:val="both"/>
        <w:rPr>
          <w:rFonts w:cstheme="minorHAnsi"/>
        </w:rPr>
      </w:pPr>
      <w:r w:rsidRPr="00A45768">
        <w:rPr>
          <w:rFonts w:cstheme="minorHAnsi"/>
          <w:b/>
          <w:bCs/>
        </w:rPr>
        <w:t>Observation:</w:t>
      </w:r>
    </w:p>
    <w:p w14:paraId="27AE03D7" w14:textId="77777777" w:rsidR="00A45768" w:rsidRPr="00A45768" w:rsidRDefault="00A45768" w:rsidP="008C49A5">
      <w:pPr>
        <w:numPr>
          <w:ilvl w:val="0"/>
          <w:numId w:val="17"/>
        </w:numPr>
        <w:jc w:val="both"/>
        <w:rPr>
          <w:rFonts w:cstheme="minorHAnsi"/>
        </w:rPr>
      </w:pPr>
      <w:r w:rsidRPr="00A45768">
        <w:rPr>
          <w:rFonts w:cstheme="minorHAnsi"/>
          <w:b/>
          <w:bCs/>
        </w:rPr>
        <w:t>Gross Profit:</w:t>
      </w:r>
      <w:r w:rsidRPr="00A45768">
        <w:rPr>
          <w:rFonts w:cstheme="minorHAnsi"/>
        </w:rPr>
        <w:t xml:space="preserve"> Canadian Solar Inc leads with the highest gross profit, followed by Diebold Nixdorf Inc. Rimini Street Inc. and Telesat Corp have lower gross profits.</w:t>
      </w:r>
    </w:p>
    <w:p w14:paraId="59D60DF8" w14:textId="77777777" w:rsidR="00A45768" w:rsidRPr="00A45768" w:rsidRDefault="00A45768" w:rsidP="008C49A5">
      <w:pPr>
        <w:numPr>
          <w:ilvl w:val="0"/>
          <w:numId w:val="17"/>
        </w:numPr>
        <w:jc w:val="both"/>
        <w:rPr>
          <w:rFonts w:cstheme="minorHAnsi"/>
        </w:rPr>
      </w:pPr>
      <w:r w:rsidRPr="00A45768">
        <w:rPr>
          <w:rFonts w:cstheme="minorHAnsi"/>
          <w:b/>
          <w:bCs/>
        </w:rPr>
        <w:t>Gross Profit Growth:</w:t>
      </w:r>
      <w:r w:rsidRPr="00A45768">
        <w:rPr>
          <w:rFonts w:cstheme="minorHAnsi"/>
        </w:rPr>
        <w:t xml:space="preserve"> Canadian Solar Inc shows exceptional growth compared to its peers, while Diebold Nixdorf Inc has the next highest growth. Rimini Street Inc. and Telesat Corp have negative growth rates.</w:t>
      </w:r>
    </w:p>
    <w:p w14:paraId="5CC3C5BC" w14:textId="77777777" w:rsidR="00A02920" w:rsidRPr="00A02920" w:rsidRDefault="00A02920" w:rsidP="008C49A5">
      <w:pPr>
        <w:jc w:val="both"/>
        <w:rPr>
          <w:rFonts w:cstheme="minorHAnsi"/>
          <w:b/>
          <w:bCs/>
        </w:rPr>
      </w:pPr>
      <w:r w:rsidRPr="00A02920">
        <w:rPr>
          <w:rFonts w:cstheme="minorHAnsi"/>
          <w:b/>
          <w:bCs/>
        </w:rPr>
        <w:t>Valuation Metrics Comparison:</w:t>
      </w:r>
    </w:p>
    <w:p w14:paraId="5D859CFB" w14:textId="77777777" w:rsidR="00A02920" w:rsidRPr="00A02920" w:rsidRDefault="00A02920" w:rsidP="008C49A5">
      <w:pPr>
        <w:numPr>
          <w:ilvl w:val="0"/>
          <w:numId w:val="22"/>
        </w:numPr>
        <w:jc w:val="both"/>
        <w:rPr>
          <w:rFonts w:cstheme="minorHAnsi"/>
        </w:rPr>
      </w:pPr>
      <w:r w:rsidRPr="00A02920">
        <w:rPr>
          <w:rFonts w:cstheme="minorHAnsi"/>
          <w:b/>
          <w:bCs/>
        </w:rPr>
        <w:t>Market Capitalization</w:t>
      </w:r>
      <w:r w:rsidRPr="00A02920">
        <w:rPr>
          <w:rFonts w:cstheme="minorHAnsi"/>
        </w:rPr>
        <w:t>: Diebold Nixdorf Inc has a large market cap compared to peers, except for Canadian Solar Inc.</w:t>
      </w:r>
    </w:p>
    <w:p w14:paraId="69E4214C" w14:textId="77777777" w:rsidR="00A02920" w:rsidRPr="00A02920" w:rsidRDefault="00A02920" w:rsidP="008C49A5">
      <w:pPr>
        <w:numPr>
          <w:ilvl w:val="0"/>
          <w:numId w:val="22"/>
        </w:numPr>
        <w:jc w:val="both"/>
        <w:rPr>
          <w:rFonts w:cstheme="minorHAnsi"/>
        </w:rPr>
      </w:pPr>
      <w:r w:rsidRPr="00A02920">
        <w:rPr>
          <w:rFonts w:cstheme="minorHAnsi"/>
          <w:b/>
          <w:bCs/>
        </w:rPr>
        <w:t>P/E Ratio:</w:t>
      </w:r>
      <w:r w:rsidRPr="00A02920">
        <w:rPr>
          <w:rFonts w:cstheme="minorHAnsi"/>
        </w:rPr>
        <w:t xml:space="preserve"> Diebold Nixdorf Inc has the lowest P/E ratio (0.88), well below the sector average (4.86), indicating it may be significantly undervalued relative to its earnings.</w:t>
      </w:r>
    </w:p>
    <w:p w14:paraId="6FDE51D3" w14:textId="77777777" w:rsidR="00A02920" w:rsidRPr="00A02920" w:rsidRDefault="00A02920" w:rsidP="008C49A5">
      <w:pPr>
        <w:numPr>
          <w:ilvl w:val="0"/>
          <w:numId w:val="22"/>
        </w:numPr>
        <w:jc w:val="both"/>
        <w:rPr>
          <w:rFonts w:cstheme="minorHAnsi"/>
        </w:rPr>
      </w:pPr>
      <w:r w:rsidRPr="00A02920">
        <w:rPr>
          <w:rFonts w:cstheme="minorHAnsi"/>
          <w:b/>
          <w:bCs/>
        </w:rPr>
        <w:t>P/S Ratio</w:t>
      </w:r>
      <w:r w:rsidRPr="00A02920">
        <w:rPr>
          <w:rFonts w:cstheme="minorHAnsi"/>
        </w:rPr>
        <w:t>: Diebold Nixdorf Inc has a low P/S ratio (0.34), slightly below the sector average (0.36), suggesting it is undervalued relative to its sales.</w:t>
      </w:r>
    </w:p>
    <w:p w14:paraId="159786D6" w14:textId="48926CA4" w:rsidR="00A02920" w:rsidRPr="008C49A5" w:rsidRDefault="00A02920" w:rsidP="008C49A5">
      <w:pPr>
        <w:jc w:val="both"/>
        <w:rPr>
          <w:rFonts w:cstheme="minorHAnsi"/>
        </w:rPr>
      </w:pPr>
      <w:r w:rsidRPr="008C49A5">
        <w:rPr>
          <w:rFonts w:cstheme="minorHAnsi"/>
          <w:b/>
          <w:bCs/>
        </w:rPr>
        <w:t>Summary:</w:t>
      </w:r>
      <w:r w:rsidRPr="008C49A5">
        <w:rPr>
          <w:rFonts w:cstheme="minorHAnsi"/>
        </w:rPr>
        <w:t xml:space="preserve"> Diebold Nixdorf Inc appears undervalued with the lowest P/E ratio among its peers and a P/S ratio below the sector average. Despite its relatively lower gross profit growth (1.76%), its gross profit ($891.60M) is substantial. This combination of strong revenue and undervaluation metrics suggests potential for growth or a market undervaluation.</w:t>
      </w:r>
    </w:p>
    <w:p w14:paraId="59C0B148" w14:textId="77777777" w:rsidR="008C49A5" w:rsidRPr="008C49A5" w:rsidRDefault="008C49A5" w:rsidP="008C49A5">
      <w:pPr>
        <w:jc w:val="both"/>
        <w:rPr>
          <w:rFonts w:cstheme="minorHAnsi"/>
        </w:rPr>
      </w:pPr>
    </w:p>
    <w:p w14:paraId="3FA8B1F6" w14:textId="483C576A" w:rsidR="00A02920" w:rsidRPr="008C49A5" w:rsidRDefault="00A02920" w:rsidP="008C49A5">
      <w:pPr>
        <w:jc w:val="both"/>
        <w:rPr>
          <w:rFonts w:cstheme="minorHAnsi"/>
          <w:b/>
          <w:bCs/>
        </w:rPr>
      </w:pPr>
      <w:r w:rsidRPr="008C49A5">
        <w:rPr>
          <w:rFonts w:cstheme="minorHAnsi"/>
          <w:b/>
          <w:bCs/>
        </w:rPr>
        <w:t xml:space="preserve">(3) Chosen Company: </w:t>
      </w:r>
      <w:r w:rsidRPr="00A02920">
        <w:rPr>
          <w:rFonts w:cstheme="minorHAnsi"/>
          <w:b/>
          <w:bCs/>
        </w:rPr>
        <w:t>Ready Capital Corp</w:t>
      </w:r>
    </w:p>
    <w:tbl>
      <w:tblPr>
        <w:tblStyle w:val="TableGrid"/>
        <w:tblW w:w="9625" w:type="dxa"/>
        <w:tblLayout w:type="fixed"/>
        <w:tblLook w:val="04A0" w:firstRow="1" w:lastRow="0" w:firstColumn="1" w:lastColumn="0" w:noHBand="0" w:noVBand="1"/>
      </w:tblPr>
      <w:tblGrid>
        <w:gridCol w:w="1605"/>
        <w:gridCol w:w="1195"/>
        <w:gridCol w:w="1065"/>
        <w:gridCol w:w="990"/>
        <w:gridCol w:w="810"/>
        <w:gridCol w:w="900"/>
        <w:gridCol w:w="720"/>
        <w:gridCol w:w="720"/>
        <w:gridCol w:w="720"/>
        <w:gridCol w:w="900"/>
      </w:tblGrid>
      <w:tr w:rsidR="00A02920" w:rsidRPr="008C49A5" w14:paraId="5E7A3661" w14:textId="77777777" w:rsidTr="00A02920">
        <w:trPr>
          <w:trHeight w:val="290"/>
        </w:trPr>
        <w:tc>
          <w:tcPr>
            <w:tcW w:w="1605" w:type="dxa"/>
            <w:noWrap/>
            <w:hideMark/>
          </w:tcPr>
          <w:p w14:paraId="70B1BC0F" w14:textId="77777777" w:rsidR="00A02920" w:rsidRPr="008C49A5" w:rsidRDefault="00A02920" w:rsidP="008C49A5">
            <w:pPr>
              <w:jc w:val="both"/>
              <w:rPr>
                <w:rFonts w:cstheme="minorHAnsi"/>
              </w:rPr>
            </w:pPr>
            <w:r w:rsidRPr="008C49A5">
              <w:rPr>
                <w:rFonts w:cstheme="minorHAnsi"/>
              </w:rPr>
              <w:lastRenderedPageBreak/>
              <w:t>REAL ESTATE SECTOR</w:t>
            </w:r>
          </w:p>
        </w:tc>
        <w:tc>
          <w:tcPr>
            <w:tcW w:w="1195" w:type="dxa"/>
            <w:noWrap/>
            <w:hideMark/>
          </w:tcPr>
          <w:p w14:paraId="6D887BFD" w14:textId="77777777" w:rsidR="00A02920" w:rsidRPr="008C49A5" w:rsidRDefault="00A02920" w:rsidP="008C49A5">
            <w:pPr>
              <w:jc w:val="both"/>
              <w:rPr>
                <w:rFonts w:cstheme="minorHAnsi"/>
              </w:rPr>
            </w:pPr>
          </w:p>
        </w:tc>
        <w:tc>
          <w:tcPr>
            <w:tcW w:w="1065" w:type="dxa"/>
            <w:noWrap/>
            <w:hideMark/>
          </w:tcPr>
          <w:p w14:paraId="28099285" w14:textId="77777777" w:rsidR="00A02920" w:rsidRPr="008C49A5" w:rsidRDefault="00A02920" w:rsidP="008C49A5">
            <w:pPr>
              <w:jc w:val="both"/>
              <w:rPr>
                <w:rFonts w:cstheme="minorHAnsi"/>
              </w:rPr>
            </w:pPr>
          </w:p>
        </w:tc>
        <w:tc>
          <w:tcPr>
            <w:tcW w:w="990" w:type="dxa"/>
            <w:noWrap/>
            <w:hideMark/>
          </w:tcPr>
          <w:p w14:paraId="1246CAAA" w14:textId="77777777" w:rsidR="00A02920" w:rsidRPr="008C49A5" w:rsidRDefault="00A02920" w:rsidP="008C49A5">
            <w:pPr>
              <w:jc w:val="both"/>
              <w:rPr>
                <w:rFonts w:cstheme="minorHAnsi"/>
              </w:rPr>
            </w:pPr>
          </w:p>
        </w:tc>
        <w:tc>
          <w:tcPr>
            <w:tcW w:w="810" w:type="dxa"/>
            <w:noWrap/>
            <w:hideMark/>
          </w:tcPr>
          <w:p w14:paraId="40D9A723" w14:textId="77777777" w:rsidR="00A02920" w:rsidRPr="008C49A5" w:rsidRDefault="00A02920" w:rsidP="008C49A5">
            <w:pPr>
              <w:jc w:val="both"/>
              <w:rPr>
                <w:rFonts w:cstheme="minorHAnsi"/>
              </w:rPr>
            </w:pPr>
          </w:p>
        </w:tc>
        <w:tc>
          <w:tcPr>
            <w:tcW w:w="900" w:type="dxa"/>
            <w:noWrap/>
            <w:hideMark/>
          </w:tcPr>
          <w:p w14:paraId="78EDB936" w14:textId="77777777" w:rsidR="00A02920" w:rsidRPr="008C49A5" w:rsidRDefault="00A02920" w:rsidP="008C49A5">
            <w:pPr>
              <w:jc w:val="both"/>
              <w:rPr>
                <w:rFonts w:cstheme="minorHAnsi"/>
              </w:rPr>
            </w:pPr>
          </w:p>
        </w:tc>
        <w:tc>
          <w:tcPr>
            <w:tcW w:w="720" w:type="dxa"/>
            <w:noWrap/>
            <w:hideMark/>
          </w:tcPr>
          <w:p w14:paraId="52E7421B" w14:textId="77777777" w:rsidR="00A02920" w:rsidRPr="008C49A5" w:rsidRDefault="00A02920" w:rsidP="008C49A5">
            <w:pPr>
              <w:jc w:val="both"/>
              <w:rPr>
                <w:rFonts w:cstheme="minorHAnsi"/>
              </w:rPr>
            </w:pPr>
          </w:p>
        </w:tc>
        <w:tc>
          <w:tcPr>
            <w:tcW w:w="720" w:type="dxa"/>
            <w:noWrap/>
            <w:hideMark/>
          </w:tcPr>
          <w:p w14:paraId="0CDFD875" w14:textId="77777777" w:rsidR="00A02920" w:rsidRPr="008C49A5" w:rsidRDefault="00A02920" w:rsidP="008C49A5">
            <w:pPr>
              <w:jc w:val="both"/>
              <w:rPr>
                <w:rFonts w:cstheme="minorHAnsi"/>
              </w:rPr>
            </w:pPr>
          </w:p>
        </w:tc>
        <w:tc>
          <w:tcPr>
            <w:tcW w:w="720" w:type="dxa"/>
            <w:noWrap/>
            <w:hideMark/>
          </w:tcPr>
          <w:p w14:paraId="027FC165" w14:textId="77777777" w:rsidR="00A02920" w:rsidRPr="008C49A5" w:rsidRDefault="00A02920" w:rsidP="008C49A5">
            <w:pPr>
              <w:jc w:val="both"/>
              <w:rPr>
                <w:rFonts w:cstheme="minorHAnsi"/>
              </w:rPr>
            </w:pPr>
          </w:p>
        </w:tc>
        <w:tc>
          <w:tcPr>
            <w:tcW w:w="900" w:type="dxa"/>
            <w:noWrap/>
            <w:hideMark/>
          </w:tcPr>
          <w:p w14:paraId="7A2AFEB4" w14:textId="77777777" w:rsidR="00A02920" w:rsidRPr="008C49A5" w:rsidRDefault="00A02920" w:rsidP="008C49A5">
            <w:pPr>
              <w:jc w:val="both"/>
              <w:rPr>
                <w:rFonts w:cstheme="minorHAnsi"/>
              </w:rPr>
            </w:pPr>
          </w:p>
        </w:tc>
      </w:tr>
      <w:tr w:rsidR="00A02920" w:rsidRPr="008C49A5" w14:paraId="68E7102F" w14:textId="77777777" w:rsidTr="00A02920">
        <w:trPr>
          <w:trHeight w:val="870"/>
        </w:trPr>
        <w:tc>
          <w:tcPr>
            <w:tcW w:w="1605" w:type="dxa"/>
            <w:noWrap/>
            <w:hideMark/>
          </w:tcPr>
          <w:p w14:paraId="118502E1" w14:textId="77777777" w:rsidR="00A02920" w:rsidRPr="008C49A5" w:rsidRDefault="00A02920" w:rsidP="008C49A5">
            <w:pPr>
              <w:jc w:val="both"/>
              <w:rPr>
                <w:rFonts w:cstheme="minorHAnsi"/>
              </w:rPr>
            </w:pPr>
            <w:r w:rsidRPr="008C49A5">
              <w:rPr>
                <w:rFonts w:cstheme="minorHAnsi"/>
              </w:rPr>
              <w:t>Company Name</w:t>
            </w:r>
          </w:p>
        </w:tc>
        <w:tc>
          <w:tcPr>
            <w:tcW w:w="1195" w:type="dxa"/>
            <w:noWrap/>
            <w:hideMark/>
          </w:tcPr>
          <w:p w14:paraId="36CC2AD6" w14:textId="77777777" w:rsidR="00A02920" w:rsidRPr="008C49A5" w:rsidRDefault="00A02920" w:rsidP="008C49A5">
            <w:pPr>
              <w:jc w:val="both"/>
              <w:rPr>
                <w:rFonts w:cstheme="minorHAnsi"/>
              </w:rPr>
            </w:pPr>
            <w:r w:rsidRPr="008C49A5">
              <w:rPr>
                <w:rFonts w:cstheme="minorHAnsi"/>
              </w:rPr>
              <w:t>Sector</w:t>
            </w:r>
          </w:p>
        </w:tc>
        <w:tc>
          <w:tcPr>
            <w:tcW w:w="1065" w:type="dxa"/>
            <w:noWrap/>
            <w:hideMark/>
          </w:tcPr>
          <w:p w14:paraId="519416F4" w14:textId="75742270" w:rsidR="00A02920" w:rsidRPr="008C49A5" w:rsidRDefault="00A02920" w:rsidP="008C49A5">
            <w:pPr>
              <w:jc w:val="both"/>
              <w:rPr>
                <w:rFonts w:cstheme="minorHAnsi"/>
              </w:rPr>
            </w:pPr>
            <w:r w:rsidRPr="008C49A5">
              <w:rPr>
                <w:rFonts w:cstheme="minorHAnsi"/>
              </w:rPr>
              <w:t xml:space="preserve">Market </w:t>
            </w:r>
            <w:r w:rsidRPr="008C49A5">
              <w:rPr>
                <w:rFonts w:cstheme="minorHAnsi"/>
              </w:rPr>
              <w:t>Capitalization (</w:t>
            </w:r>
            <w:r w:rsidRPr="008C49A5">
              <w:rPr>
                <w:rFonts w:cstheme="minorHAnsi"/>
              </w:rPr>
              <w:t xml:space="preserve">$) </w:t>
            </w:r>
          </w:p>
        </w:tc>
        <w:tc>
          <w:tcPr>
            <w:tcW w:w="990" w:type="dxa"/>
            <w:hideMark/>
          </w:tcPr>
          <w:p w14:paraId="394165DC" w14:textId="4F83088C" w:rsidR="00A02920" w:rsidRPr="008C49A5" w:rsidRDefault="00A02920" w:rsidP="008C49A5">
            <w:pPr>
              <w:jc w:val="both"/>
              <w:rPr>
                <w:rFonts w:cstheme="minorHAnsi"/>
              </w:rPr>
            </w:pPr>
            <w:r w:rsidRPr="008C49A5">
              <w:rPr>
                <w:rFonts w:cstheme="minorHAnsi"/>
              </w:rPr>
              <w:t xml:space="preserve">Price to </w:t>
            </w:r>
            <w:r w:rsidRPr="008C49A5">
              <w:rPr>
                <w:rFonts w:cstheme="minorHAnsi"/>
              </w:rPr>
              <w:t>Earnings</w:t>
            </w:r>
            <w:r w:rsidRPr="008C49A5">
              <w:rPr>
                <w:rFonts w:cstheme="minorHAnsi"/>
              </w:rPr>
              <w:t xml:space="preserve"> Ratio (P/E)</w:t>
            </w:r>
          </w:p>
        </w:tc>
        <w:tc>
          <w:tcPr>
            <w:tcW w:w="810" w:type="dxa"/>
            <w:hideMark/>
          </w:tcPr>
          <w:p w14:paraId="1CED6CE2" w14:textId="77777777" w:rsidR="00A02920" w:rsidRPr="008C49A5" w:rsidRDefault="00A02920" w:rsidP="008C49A5">
            <w:pPr>
              <w:jc w:val="both"/>
              <w:rPr>
                <w:rFonts w:cstheme="minorHAnsi"/>
              </w:rPr>
            </w:pPr>
            <w:r w:rsidRPr="008C49A5">
              <w:rPr>
                <w:rFonts w:cstheme="minorHAnsi"/>
              </w:rPr>
              <w:t>Price to Sales Ratio (P/S)</w:t>
            </w:r>
          </w:p>
        </w:tc>
        <w:tc>
          <w:tcPr>
            <w:tcW w:w="900" w:type="dxa"/>
            <w:noWrap/>
            <w:hideMark/>
          </w:tcPr>
          <w:p w14:paraId="5B76EA46" w14:textId="77777777" w:rsidR="00A02920" w:rsidRPr="008C49A5" w:rsidRDefault="00A02920" w:rsidP="008C49A5">
            <w:pPr>
              <w:jc w:val="both"/>
              <w:rPr>
                <w:rFonts w:cstheme="minorHAnsi"/>
              </w:rPr>
            </w:pPr>
            <w:r w:rsidRPr="008C49A5">
              <w:rPr>
                <w:rFonts w:cstheme="minorHAnsi"/>
              </w:rPr>
              <w:t>Total Revenue ($M)</w:t>
            </w:r>
          </w:p>
        </w:tc>
        <w:tc>
          <w:tcPr>
            <w:tcW w:w="720" w:type="dxa"/>
            <w:noWrap/>
            <w:hideMark/>
          </w:tcPr>
          <w:p w14:paraId="7C0666E7" w14:textId="77777777" w:rsidR="00A02920" w:rsidRPr="008C49A5" w:rsidRDefault="00A02920" w:rsidP="008C49A5">
            <w:pPr>
              <w:jc w:val="both"/>
              <w:rPr>
                <w:rFonts w:cstheme="minorHAnsi"/>
              </w:rPr>
            </w:pPr>
            <w:r w:rsidRPr="008C49A5">
              <w:rPr>
                <w:rFonts w:cstheme="minorHAnsi"/>
              </w:rPr>
              <w:t>Gross Margin (%)</w:t>
            </w:r>
          </w:p>
        </w:tc>
        <w:tc>
          <w:tcPr>
            <w:tcW w:w="720" w:type="dxa"/>
            <w:noWrap/>
            <w:hideMark/>
          </w:tcPr>
          <w:p w14:paraId="1CA6A634" w14:textId="77777777" w:rsidR="00A02920" w:rsidRPr="008C49A5" w:rsidRDefault="00A02920" w:rsidP="008C49A5">
            <w:pPr>
              <w:jc w:val="both"/>
              <w:rPr>
                <w:rFonts w:cstheme="minorHAnsi"/>
              </w:rPr>
            </w:pPr>
            <w:r w:rsidRPr="008C49A5">
              <w:rPr>
                <w:rFonts w:cstheme="minorHAnsi"/>
              </w:rPr>
              <w:t>Gross Profit (GP) ($M)</w:t>
            </w:r>
          </w:p>
        </w:tc>
        <w:tc>
          <w:tcPr>
            <w:tcW w:w="720" w:type="dxa"/>
            <w:noWrap/>
            <w:hideMark/>
          </w:tcPr>
          <w:p w14:paraId="4042DD27" w14:textId="77777777" w:rsidR="00A02920" w:rsidRPr="008C49A5" w:rsidRDefault="00A02920" w:rsidP="008C49A5">
            <w:pPr>
              <w:jc w:val="both"/>
              <w:rPr>
                <w:rFonts w:cstheme="minorHAnsi"/>
              </w:rPr>
            </w:pPr>
            <w:r w:rsidRPr="008C49A5">
              <w:rPr>
                <w:rFonts w:cstheme="minorHAnsi"/>
              </w:rPr>
              <w:t>Previous GP ($M)</w:t>
            </w:r>
          </w:p>
        </w:tc>
        <w:tc>
          <w:tcPr>
            <w:tcW w:w="900" w:type="dxa"/>
            <w:hideMark/>
          </w:tcPr>
          <w:p w14:paraId="602AE6DA" w14:textId="77777777" w:rsidR="00A02920" w:rsidRPr="008C49A5" w:rsidRDefault="00A02920" w:rsidP="008C49A5">
            <w:pPr>
              <w:jc w:val="both"/>
              <w:rPr>
                <w:rFonts w:cstheme="minorHAnsi"/>
              </w:rPr>
            </w:pPr>
            <w:r w:rsidRPr="008C49A5">
              <w:rPr>
                <w:rFonts w:cstheme="minorHAnsi"/>
              </w:rPr>
              <w:t>Gross Profit Growth (GPG) (%)</w:t>
            </w:r>
          </w:p>
        </w:tc>
      </w:tr>
      <w:tr w:rsidR="00A02920" w:rsidRPr="008C49A5" w14:paraId="6E167CBD" w14:textId="77777777" w:rsidTr="00A02920">
        <w:trPr>
          <w:trHeight w:val="290"/>
        </w:trPr>
        <w:tc>
          <w:tcPr>
            <w:tcW w:w="1605" w:type="dxa"/>
            <w:noWrap/>
            <w:hideMark/>
          </w:tcPr>
          <w:p w14:paraId="0364D6DC" w14:textId="77777777" w:rsidR="00A02920" w:rsidRPr="008C49A5" w:rsidRDefault="00A02920" w:rsidP="008C49A5">
            <w:pPr>
              <w:jc w:val="both"/>
              <w:rPr>
                <w:rFonts w:cstheme="minorHAnsi"/>
              </w:rPr>
            </w:pPr>
            <w:r w:rsidRPr="008C49A5">
              <w:rPr>
                <w:rFonts w:cstheme="minorHAnsi"/>
              </w:rPr>
              <w:t>Ready Capital Corp</w:t>
            </w:r>
          </w:p>
        </w:tc>
        <w:tc>
          <w:tcPr>
            <w:tcW w:w="1195" w:type="dxa"/>
            <w:noWrap/>
            <w:hideMark/>
          </w:tcPr>
          <w:p w14:paraId="4E936C18" w14:textId="77777777" w:rsidR="00A02920" w:rsidRPr="008C49A5" w:rsidRDefault="00A02920" w:rsidP="008C49A5">
            <w:pPr>
              <w:jc w:val="both"/>
              <w:rPr>
                <w:rFonts w:cstheme="minorHAnsi"/>
              </w:rPr>
            </w:pPr>
            <w:r w:rsidRPr="008C49A5">
              <w:rPr>
                <w:rFonts w:cstheme="minorHAnsi"/>
              </w:rPr>
              <w:t xml:space="preserve">REAL ESTATE </w:t>
            </w:r>
          </w:p>
        </w:tc>
        <w:tc>
          <w:tcPr>
            <w:tcW w:w="1065" w:type="dxa"/>
            <w:noWrap/>
            <w:hideMark/>
          </w:tcPr>
          <w:p w14:paraId="08A6BB13" w14:textId="77777777" w:rsidR="00A02920" w:rsidRPr="008C49A5" w:rsidRDefault="00A02920" w:rsidP="008C49A5">
            <w:pPr>
              <w:jc w:val="both"/>
              <w:rPr>
                <w:rFonts w:cstheme="minorHAnsi"/>
              </w:rPr>
            </w:pPr>
            <w:r w:rsidRPr="008C49A5">
              <w:rPr>
                <w:rFonts w:cstheme="minorHAnsi"/>
              </w:rPr>
              <w:t>1.57B</w:t>
            </w:r>
          </w:p>
        </w:tc>
        <w:tc>
          <w:tcPr>
            <w:tcW w:w="990" w:type="dxa"/>
            <w:noWrap/>
            <w:hideMark/>
          </w:tcPr>
          <w:p w14:paraId="7F638005" w14:textId="77777777" w:rsidR="00A02920" w:rsidRPr="008C49A5" w:rsidRDefault="00A02920" w:rsidP="008C49A5">
            <w:pPr>
              <w:jc w:val="both"/>
              <w:rPr>
                <w:rFonts w:cstheme="minorHAnsi"/>
              </w:rPr>
            </w:pPr>
            <w:r w:rsidRPr="008C49A5">
              <w:rPr>
                <w:rFonts w:cstheme="minorHAnsi"/>
              </w:rPr>
              <w:t>5.87</w:t>
            </w:r>
          </w:p>
        </w:tc>
        <w:tc>
          <w:tcPr>
            <w:tcW w:w="810" w:type="dxa"/>
            <w:noWrap/>
            <w:hideMark/>
          </w:tcPr>
          <w:p w14:paraId="273341E5" w14:textId="77777777" w:rsidR="00A02920" w:rsidRPr="008C49A5" w:rsidRDefault="00A02920" w:rsidP="008C49A5">
            <w:pPr>
              <w:jc w:val="both"/>
              <w:rPr>
                <w:rFonts w:cstheme="minorHAnsi"/>
              </w:rPr>
            </w:pPr>
            <w:r w:rsidRPr="008C49A5">
              <w:rPr>
                <w:rFonts w:cstheme="minorHAnsi"/>
              </w:rPr>
              <w:t>1.31</w:t>
            </w:r>
          </w:p>
        </w:tc>
        <w:tc>
          <w:tcPr>
            <w:tcW w:w="900" w:type="dxa"/>
            <w:noWrap/>
            <w:hideMark/>
          </w:tcPr>
          <w:p w14:paraId="7473AE41" w14:textId="77777777" w:rsidR="00A02920" w:rsidRPr="008C49A5" w:rsidRDefault="00A02920" w:rsidP="008C49A5">
            <w:pPr>
              <w:jc w:val="both"/>
              <w:rPr>
                <w:rFonts w:cstheme="minorHAnsi"/>
              </w:rPr>
            </w:pPr>
            <w:r w:rsidRPr="008C49A5">
              <w:rPr>
                <w:rFonts w:cstheme="minorHAnsi"/>
              </w:rPr>
              <w:t>1,201.53</w:t>
            </w:r>
          </w:p>
        </w:tc>
        <w:tc>
          <w:tcPr>
            <w:tcW w:w="720" w:type="dxa"/>
            <w:noWrap/>
            <w:hideMark/>
          </w:tcPr>
          <w:p w14:paraId="14F0D912" w14:textId="77777777" w:rsidR="00A02920" w:rsidRPr="008C49A5" w:rsidRDefault="00A02920" w:rsidP="008C49A5">
            <w:pPr>
              <w:jc w:val="both"/>
              <w:rPr>
                <w:rFonts w:cstheme="minorHAnsi"/>
              </w:rPr>
            </w:pPr>
            <w:r w:rsidRPr="008C49A5">
              <w:rPr>
                <w:rFonts w:cstheme="minorHAnsi"/>
              </w:rPr>
              <w:t>90.66</w:t>
            </w:r>
          </w:p>
        </w:tc>
        <w:tc>
          <w:tcPr>
            <w:tcW w:w="720" w:type="dxa"/>
            <w:noWrap/>
            <w:hideMark/>
          </w:tcPr>
          <w:p w14:paraId="76C438EA" w14:textId="77777777" w:rsidR="00A02920" w:rsidRPr="008C49A5" w:rsidRDefault="00A02920" w:rsidP="008C49A5">
            <w:pPr>
              <w:jc w:val="both"/>
              <w:rPr>
                <w:rFonts w:cstheme="minorHAnsi"/>
              </w:rPr>
            </w:pPr>
            <w:r w:rsidRPr="008C49A5">
              <w:rPr>
                <w:rFonts w:cstheme="minorHAnsi"/>
              </w:rPr>
              <w:t>1,089.31</w:t>
            </w:r>
          </w:p>
        </w:tc>
        <w:tc>
          <w:tcPr>
            <w:tcW w:w="720" w:type="dxa"/>
            <w:noWrap/>
            <w:hideMark/>
          </w:tcPr>
          <w:p w14:paraId="60C85DBF" w14:textId="77777777" w:rsidR="00A02920" w:rsidRPr="008C49A5" w:rsidRDefault="00A02920" w:rsidP="008C49A5">
            <w:pPr>
              <w:jc w:val="both"/>
              <w:rPr>
                <w:rFonts w:cstheme="minorHAnsi"/>
              </w:rPr>
            </w:pPr>
            <w:r w:rsidRPr="008C49A5">
              <w:rPr>
                <w:rFonts w:cstheme="minorHAnsi"/>
              </w:rPr>
              <w:t>1,050.11</w:t>
            </w:r>
          </w:p>
        </w:tc>
        <w:tc>
          <w:tcPr>
            <w:tcW w:w="900" w:type="dxa"/>
            <w:noWrap/>
            <w:hideMark/>
          </w:tcPr>
          <w:p w14:paraId="01C1423B" w14:textId="77777777" w:rsidR="00A02920" w:rsidRPr="008C49A5" w:rsidRDefault="00A02920" w:rsidP="008C49A5">
            <w:pPr>
              <w:jc w:val="both"/>
              <w:rPr>
                <w:rFonts w:cstheme="minorHAnsi"/>
              </w:rPr>
            </w:pPr>
            <w:r w:rsidRPr="008C49A5">
              <w:rPr>
                <w:rFonts w:cstheme="minorHAnsi"/>
              </w:rPr>
              <w:t>3.73</w:t>
            </w:r>
          </w:p>
        </w:tc>
      </w:tr>
      <w:tr w:rsidR="00A02920" w:rsidRPr="008C49A5" w14:paraId="6C7BBA49" w14:textId="77777777" w:rsidTr="00A02920">
        <w:trPr>
          <w:trHeight w:val="320"/>
        </w:trPr>
        <w:tc>
          <w:tcPr>
            <w:tcW w:w="1605" w:type="dxa"/>
            <w:noWrap/>
            <w:hideMark/>
          </w:tcPr>
          <w:p w14:paraId="6FBC5E6A" w14:textId="77777777" w:rsidR="00A02920" w:rsidRPr="008C49A5" w:rsidRDefault="00A02920" w:rsidP="008C49A5">
            <w:pPr>
              <w:jc w:val="both"/>
              <w:rPr>
                <w:rFonts w:cstheme="minorHAnsi"/>
              </w:rPr>
            </w:pPr>
            <w:r w:rsidRPr="008C49A5">
              <w:rPr>
                <w:rFonts w:cstheme="minorHAnsi"/>
              </w:rPr>
              <w:t>Comstock Holding Co. Inc (sector peer)</w:t>
            </w:r>
          </w:p>
        </w:tc>
        <w:tc>
          <w:tcPr>
            <w:tcW w:w="1195" w:type="dxa"/>
            <w:noWrap/>
            <w:hideMark/>
          </w:tcPr>
          <w:p w14:paraId="287EEDBD" w14:textId="77777777" w:rsidR="00A02920" w:rsidRPr="008C49A5" w:rsidRDefault="00A02920" w:rsidP="008C49A5">
            <w:pPr>
              <w:jc w:val="both"/>
              <w:rPr>
                <w:rFonts w:cstheme="minorHAnsi"/>
              </w:rPr>
            </w:pPr>
            <w:r w:rsidRPr="008C49A5">
              <w:rPr>
                <w:rFonts w:cstheme="minorHAnsi"/>
              </w:rPr>
              <w:t xml:space="preserve">REAL ESTATE </w:t>
            </w:r>
          </w:p>
        </w:tc>
        <w:tc>
          <w:tcPr>
            <w:tcW w:w="1065" w:type="dxa"/>
            <w:noWrap/>
            <w:hideMark/>
          </w:tcPr>
          <w:p w14:paraId="28732E6C" w14:textId="77777777" w:rsidR="00A02920" w:rsidRPr="008C49A5" w:rsidRDefault="00A02920" w:rsidP="008C49A5">
            <w:pPr>
              <w:jc w:val="both"/>
              <w:rPr>
                <w:rFonts w:cstheme="minorHAnsi"/>
              </w:rPr>
            </w:pPr>
            <w:r w:rsidRPr="008C49A5">
              <w:rPr>
                <w:rFonts w:cstheme="minorHAnsi"/>
              </w:rPr>
              <w:t>62.29M</w:t>
            </w:r>
          </w:p>
        </w:tc>
        <w:tc>
          <w:tcPr>
            <w:tcW w:w="990" w:type="dxa"/>
            <w:noWrap/>
            <w:hideMark/>
          </w:tcPr>
          <w:p w14:paraId="65C8B901" w14:textId="77777777" w:rsidR="00A02920" w:rsidRPr="008C49A5" w:rsidRDefault="00A02920" w:rsidP="008C49A5">
            <w:pPr>
              <w:jc w:val="both"/>
              <w:rPr>
                <w:rFonts w:cstheme="minorHAnsi"/>
              </w:rPr>
            </w:pPr>
            <w:r w:rsidRPr="008C49A5">
              <w:rPr>
                <w:rFonts w:cstheme="minorHAnsi"/>
              </w:rPr>
              <w:t>8.10</w:t>
            </w:r>
          </w:p>
        </w:tc>
        <w:tc>
          <w:tcPr>
            <w:tcW w:w="810" w:type="dxa"/>
            <w:noWrap/>
            <w:hideMark/>
          </w:tcPr>
          <w:p w14:paraId="606E380C" w14:textId="77777777" w:rsidR="00A02920" w:rsidRPr="008C49A5" w:rsidRDefault="00A02920" w:rsidP="008C49A5">
            <w:pPr>
              <w:jc w:val="both"/>
              <w:rPr>
                <w:rFonts w:cstheme="minorHAnsi"/>
              </w:rPr>
            </w:pPr>
            <w:r w:rsidRPr="008C49A5">
              <w:rPr>
                <w:rFonts w:cstheme="minorHAnsi"/>
              </w:rPr>
              <w:t>1.15</w:t>
            </w:r>
          </w:p>
        </w:tc>
        <w:tc>
          <w:tcPr>
            <w:tcW w:w="900" w:type="dxa"/>
            <w:noWrap/>
            <w:hideMark/>
          </w:tcPr>
          <w:p w14:paraId="7F6918A5" w14:textId="77777777" w:rsidR="00A02920" w:rsidRPr="008C49A5" w:rsidRDefault="00A02920" w:rsidP="008C49A5">
            <w:pPr>
              <w:jc w:val="both"/>
              <w:rPr>
                <w:rFonts w:cstheme="minorHAnsi"/>
              </w:rPr>
            </w:pPr>
            <w:r w:rsidRPr="008C49A5">
              <w:rPr>
                <w:rFonts w:cstheme="minorHAnsi"/>
              </w:rPr>
              <w:t>45.08</w:t>
            </w:r>
          </w:p>
        </w:tc>
        <w:tc>
          <w:tcPr>
            <w:tcW w:w="720" w:type="dxa"/>
            <w:noWrap/>
            <w:hideMark/>
          </w:tcPr>
          <w:p w14:paraId="7DE36E8B" w14:textId="77777777" w:rsidR="00A02920" w:rsidRPr="008C49A5" w:rsidRDefault="00A02920" w:rsidP="008C49A5">
            <w:pPr>
              <w:jc w:val="both"/>
              <w:rPr>
                <w:rFonts w:cstheme="minorHAnsi"/>
              </w:rPr>
            </w:pPr>
            <w:r w:rsidRPr="008C49A5">
              <w:rPr>
                <w:rFonts w:cstheme="minorHAnsi"/>
              </w:rPr>
              <w:t>25.00</w:t>
            </w:r>
          </w:p>
        </w:tc>
        <w:tc>
          <w:tcPr>
            <w:tcW w:w="720" w:type="dxa"/>
            <w:noWrap/>
            <w:hideMark/>
          </w:tcPr>
          <w:p w14:paraId="1914CD66" w14:textId="77777777" w:rsidR="00A02920" w:rsidRPr="008C49A5" w:rsidRDefault="00A02920" w:rsidP="008C49A5">
            <w:pPr>
              <w:jc w:val="both"/>
              <w:rPr>
                <w:rFonts w:cstheme="minorHAnsi"/>
              </w:rPr>
            </w:pPr>
            <w:r w:rsidRPr="008C49A5">
              <w:rPr>
                <w:rFonts w:cstheme="minorHAnsi"/>
              </w:rPr>
              <w:t>11.27</w:t>
            </w:r>
          </w:p>
        </w:tc>
        <w:tc>
          <w:tcPr>
            <w:tcW w:w="720" w:type="dxa"/>
            <w:noWrap/>
            <w:hideMark/>
          </w:tcPr>
          <w:p w14:paraId="4E18821E" w14:textId="77777777" w:rsidR="00A02920" w:rsidRPr="008C49A5" w:rsidRDefault="00A02920" w:rsidP="008C49A5">
            <w:pPr>
              <w:jc w:val="both"/>
              <w:rPr>
                <w:rFonts w:cstheme="minorHAnsi"/>
              </w:rPr>
            </w:pPr>
            <w:r w:rsidRPr="008C49A5">
              <w:rPr>
                <w:rFonts w:cstheme="minorHAnsi"/>
              </w:rPr>
              <w:t>11.47</w:t>
            </w:r>
          </w:p>
        </w:tc>
        <w:tc>
          <w:tcPr>
            <w:tcW w:w="900" w:type="dxa"/>
            <w:noWrap/>
            <w:hideMark/>
          </w:tcPr>
          <w:p w14:paraId="1D449E5B" w14:textId="77777777" w:rsidR="00A02920" w:rsidRPr="008C49A5" w:rsidRDefault="00A02920" w:rsidP="008C49A5">
            <w:pPr>
              <w:jc w:val="both"/>
              <w:rPr>
                <w:rFonts w:cstheme="minorHAnsi"/>
              </w:rPr>
            </w:pPr>
            <w:r w:rsidRPr="008C49A5">
              <w:rPr>
                <w:rFonts w:cstheme="minorHAnsi"/>
              </w:rPr>
              <w:t>-1.74</w:t>
            </w:r>
          </w:p>
        </w:tc>
      </w:tr>
      <w:tr w:rsidR="00A02920" w:rsidRPr="008C49A5" w14:paraId="7276471C" w14:textId="77777777" w:rsidTr="00A02920">
        <w:trPr>
          <w:trHeight w:val="290"/>
        </w:trPr>
        <w:tc>
          <w:tcPr>
            <w:tcW w:w="1605" w:type="dxa"/>
            <w:noWrap/>
            <w:hideMark/>
          </w:tcPr>
          <w:p w14:paraId="61A66952" w14:textId="77777777" w:rsidR="00A02920" w:rsidRPr="008C49A5" w:rsidRDefault="00A02920" w:rsidP="008C49A5">
            <w:pPr>
              <w:jc w:val="both"/>
              <w:rPr>
                <w:rFonts w:cstheme="minorHAnsi"/>
              </w:rPr>
            </w:pPr>
            <w:r w:rsidRPr="008C49A5">
              <w:rPr>
                <w:rFonts w:cstheme="minorHAnsi"/>
              </w:rPr>
              <w:t>Rithm Capital Corporation (sector peer)</w:t>
            </w:r>
          </w:p>
        </w:tc>
        <w:tc>
          <w:tcPr>
            <w:tcW w:w="1195" w:type="dxa"/>
            <w:noWrap/>
            <w:hideMark/>
          </w:tcPr>
          <w:p w14:paraId="482350B8" w14:textId="77777777" w:rsidR="00A02920" w:rsidRPr="008C49A5" w:rsidRDefault="00A02920" w:rsidP="008C49A5">
            <w:pPr>
              <w:jc w:val="both"/>
              <w:rPr>
                <w:rFonts w:cstheme="minorHAnsi"/>
              </w:rPr>
            </w:pPr>
            <w:r w:rsidRPr="008C49A5">
              <w:rPr>
                <w:rFonts w:cstheme="minorHAnsi"/>
              </w:rPr>
              <w:t xml:space="preserve">REAL ESTATE </w:t>
            </w:r>
          </w:p>
        </w:tc>
        <w:tc>
          <w:tcPr>
            <w:tcW w:w="1065" w:type="dxa"/>
            <w:noWrap/>
            <w:hideMark/>
          </w:tcPr>
          <w:p w14:paraId="0DDC8C32" w14:textId="77777777" w:rsidR="00A02920" w:rsidRPr="008C49A5" w:rsidRDefault="00A02920" w:rsidP="008C49A5">
            <w:pPr>
              <w:jc w:val="both"/>
              <w:rPr>
                <w:rFonts w:cstheme="minorHAnsi"/>
              </w:rPr>
            </w:pPr>
            <w:r w:rsidRPr="008C49A5">
              <w:rPr>
                <w:rFonts w:cstheme="minorHAnsi"/>
              </w:rPr>
              <w:t>5.62B</w:t>
            </w:r>
          </w:p>
        </w:tc>
        <w:tc>
          <w:tcPr>
            <w:tcW w:w="990" w:type="dxa"/>
            <w:noWrap/>
            <w:hideMark/>
          </w:tcPr>
          <w:p w14:paraId="60FB1C79" w14:textId="77777777" w:rsidR="00A02920" w:rsidRPr="008C49A5" w:rsidRDefault="00A02920" w:rsidP="008C49A5">
            <w:pPr>
              <w:jc w:val="both"/>
              <w:rPr>
                <w:rFonts w:cstheme="minorHAnsi"/>
              </w:rPr>
            </w:pPr>
            <w:r w:rsidRPr="008C49A5">
              <w:rPr>
                <w:rFonts w:cstheme="minorHAnsi"/>
              </w:rPr>
              <w:t>7.76</w:t>
            </w:r>
          </w:p>
        </w:tc>
        <w:tc>
          <w:tcPr>
            <w:tcW w:w="810" w:type="dxa"/>
            <w:noWrap/>
            <w:hideMark/>
          </w:tcPr>
          <w:p w14:paraId="1C8044A5" w14:textId="77777777" w:rsidR="00A02920" w:rsidRPr="008C49A5" w:rsidRDefault="00A02920" w:rsidP="008C49A5">
            <w:pPr>
              <w:jc w:val="both"/>
              <w:rPr>
                <w:rFonts w:cstheme="minorHAnsi"/>
              </w:rPr>
            </w:pPr>
            <w:r w:rsidRPr="008C49A5">
              <w:rPr>
                <w:rFonts w:cstheme="minorHAnsi"/>
              </w:rPr>
              <w:t>1.34</w:t>
            </w:r>
          </w:p>
        </w:tc>
        <w:tc>
          <w:tcPr>
            <w:tcW w:w="900" w:type="dxa"/>
            <w:noWrap/>
            <w:hideMark/>
          </w:tcPr>
          <w:p w14:paraId="7FD63CFD" w14:textId="77777777" w:rsidR="00A02920" w:rsidRPr="008C49A5" w:rsidRDefault="00A02920" w:rsidP="008C49A5">
            <w:pPr>
              <w:jc w:val="both"/>
              <w:rPr>
                <w:rFonts w:cstheme="minorHAnsi"/>
              </w:rPr>
            </w:pPr>
            <w:r w:rsidRPr="008C49A5">
              <w:rPr>
                <w:rFonts w:cstheme="minorHAnsi"/>
              </w:rPr>
              <w:t>4,033.91</w:t>
            </w:r>
          </w:p>
        </w:tc>
        <w:tc>
          <w:tcPr>
            <w:tcW w:w="720" w:type="dxa"/>
            <w:noWrap/>
            <w:hideMark/>
          </w:tcPr>
          <w:p w14:paraId="58EEA7F3" w14:textId="77777777" w:rsidR="00A02920" w:rsidRPr="008C49A5" w:rsidRDefault="00A02920" w:rsidP="008C49A5">
            <w:pPr>
              <w:jc w:val="both"/>
              <w:rPr>
                <w:rFonts w:cstheme="minorHAnsi"/>
              </w:rPr>
            </w:pPr>
            <w:r w:rsidRPr="008C49A5">
              <w:rPr>
                <w:rFonts w:cstheme="minorHAnsi"/>
              </w:rPr>
              <w:t>96.04</w:t>
            </w:r>
          </w:p>
        </w:tc>
        <w:tc>
          <w:tcPr>
            <w:tcW w:w="720" w:type="dxa"/>
            <w:noWrap/>
            <w:hideMark/>
          </w:tcPr>
          <w:p w14:paraId="56AE00CC" w14:textId="77777777" w:rsidR="00A02920" w:rsidRPr="008C49A5" w:rsidRDefault="00A02920" w:rsidP="008C49A5">
            <w:pPr>
              <w:jc w:val="both"/>
              <w:rPr>
                <w:rFonts w:cstheme="minorHAnsi"/>
              </w:rPr>
            </w:pPr>
            <w:r w:rsidRPr="008C49A5">
              <w:rPr>
                <w:rFonts w:cstheme="minorHAnsi"/>
              </w:rPr>
              <w:t>3,874.17</w:t>
            </w:r>
          </w:p>
        </w:tc>
        <w:tc>
          <w:tcPr>
            <w:tcW w:w="720" w:type="dxa"/>
            <w:noWrap/>
            <w:hideMark/>
          </w:tcPr>
          <w:p w14:paraId="6C61850C" w14:textId="77777777" w:rsidR="00A02920" w:rsidRPr="008C49A5" w:rsidRDefault="00A02920" w:rsidP="008C49A5">
            <w:pPr>
              <w:jc w:val="both"/>
              <w:rPr>
                <w:rFonts w:cstheme="minorHAnsi"/>
              </w:rPr>
            </w:pPr>
            <w:r w:rsidRPr="008C49A5">
              <w:rPr>
                <w:rFonts w:cstheme="minorHAnsi"/>
              </w:rPr>
              <w:t>3,617.18</w:t>
            </w:r>
          </w:p>
        </w:tc>
        <w:tc>
          <w:tcPr>
            <w:tcW w:w="900" w:type="dxa"/>
            <w:noWrap/>
            <w:hideMark/>
          </w:tcPr>
          <w:p w14:paraId="743A0F9F" w14:textId="77777777" w:rsidR="00A02920" w:rsidRPr="008C49A5" w:rsidRDefault="00A02920" w:rsidP="008C49A5">
            <w:pPr>
              <w:jc w:val="both"/>
              <w:rPr>
                <w:rFonts w:cstheme="minorHAnsi"/>
              </w:rPr>
            </w:pPr>
            <w:r w:rsidRPr="008C49A5">
              <w:rPr>
                <w:rFonts w:cstheme="minorHAnsi"/>
              </w:rPr>
              <w:t>7.10</w:t>
            </w:r>
          </w:p>
        </w:tc>
      </w:tr>
      <w:tr w:rsidR="00A02920" w:rsidRPr="008C49A5" w14:paraId="00A82FF3" w14:textId="77777777" w:rsidTr="00A02920">
        <w:trPr>
          <w:trHeight w:val="290"/>
        </w:trPr>
        <w:tc>
          <w:tcPr>
            <w:tcW w:w="1605" w:type="dxa"/>
            <w:noWrap/>
            <w:hideMark/>
          </w:tcPr>
          <w:p w14:paraId="3E930338" w14:textId="77777777" w:rsidR="00A02920" w:rsidRPr="008C49A5" w:rsidRDefault="00A02920" w:rsidP="008C49A5">
            <w:pPr>
              <w:jc w:val="both"/>
              <w:rPr>
                <w:rFonts w:cstheme="minorHAnsi"/>
              </w:rPr>
            </w:pPr>
            <w:r w:rsidRPr="008C49A5">
              <w:rPr>
                <w:rFonts w:cstheme="minorHAnsi"/>
              </w:rPr>
              <w:t>Sachem Capital Corp (sector peer)</w:t>
            </w:r>
          </w:p>
        </w:tc>
        <w:tc>
          <w:tcPr>
            <w:tcW w:w="1195" w:type="dxa"/>
            <w:noWrap/>
            <w:hideMark/>
          </w:tcPr>
          <w:p w14:paraId="28EF5389" w14:textId="77777777" w:rsidR="00A02920" w:rsidRPr="008C49A5" w:rsidRDefault="00A02920" w:rsidP="008C49A5">
            <w:pPr>
              <w:jc w:val="both"/>
              <w:rPr>
                <w:rFonts w:cstheme="minorHAnsi"/>
              </w:rPr>
            </w:pPr>
            <w:r w:rsidRPr="008C49A5">
              <w:rPr>
                <w:rFonts w:cstheme="minorHAnsi"/>
              </w:rPr>
              <w:t xml:space="preserve">REAL ESTATE </w:t>
            </w:r>
          </w:p>
        </w:tc>
        <w:tc>
          <w:tcPr>
            <w:tcW w:w="1065" w:type="dxa"/>
            <w:noWrap/>
            <w:hideMark/>
          </w:tcPr>
          <w:p w14:paraId="00648098" w14:textId="77777777" w:rsidR="00A02920" w:rsidRPr="008C49A5" w:rsidRDefault="00A02920" w:rsidP="008C49A5">
            <w:pPr>
              <w:jc w:val="both"/>
              <w:rPr>
                <w:rFonts w:cstheme="minorHAnsi"/>
              </w:rPr>
            </w:pPr>
            <w:r w:rsidRPr="008C49A5">
              <w:rPr>
                <w:rFonts w:cstheme="minorHAnsi"/>
              </w:rPr>
              <w:t>128.83M</w:t>
            </w:r>
          </w:p>
        </w:tc>
        <w:tc>
          <w:tcPr>
            <w:tcW w:w="990" w:type="dxa"/>
            <w:noWrap/>
            <w:hideMark/>
          </w:tcPr>
          <w:p w14:paraId="2AA6082F" w14:textId="77777777" w:rsidR="00A02920" w:rsidRPr="008C49A5" w:rsidRDefault="00A02920" w:rsidP="008C49A5">
            <w:pPr>
              <w:jc w:val="both"/>
              <w:rPr>
                <w:rFonts w:cstheme="minorHAnsi"/>
              </w:rPr>
            </w:pPr>
            <w:r w:rsidRPr="008C49A5">
              <w:rPr>
                <w:rFonts w:cstheme="minorHAnsi"/>
              </w:rPr>
              <w:t>10.12</w:t>
            </w:r>
          </w:p>
        </w:tc>
        <w:tc>
          <w:tcPr>
            <w:tcW w:w="810" w:type="dxa"/>
            <w:noWrap/>
            <w:hideMark/>
          </w:tcPr>
          <w:p w14:paraId="3E94B90F" w14:textId="77777777" w:rsidR="00A02920" w:rsidRPr="008C49A5" w:rsidRDefault="00A02920" w:rsidP="008C49A5">
            <w:pPr>
              <w:jc w:val="both"/>
              <w:rPr>
                <w:rFonts w:cstheme="minorHAnsi"/>
              </w:rPr>
            </w:pPr>
            <w:r w:rsidRPr="008C49A5">
              <w:rPr>
                <w:rFonts w:cstheme="minorHAnsi"/>
              </w:rPr>
              <w:t>1.83</w:t>
            </w:r>
          </w:p>
        </w:tc>
        <w:tc>
          <w:tcPr>
            <w:tcW w:w="900" w:type="dxa"/>
            <w:noWrap/>
            <w:hideMark/>
          </w:tcPr>
          <w:p w14:paraId="6A8C4F56" w14:textId="77777777" w:rsidR="00A02920" w:rsidRPr="008C49A5" w:rsidRDefault="00A02920" w:rsidP="008C49A5">
            <w:pPr>
              <w:jc w:val="both"/>
              <w:rPr>
                <w:rFonts w:cstheme="minorHAnsi"/>
              </w:rPr>
            </w:pPr>
            <w:r w:rsidRPr="008C49A5">
              <w:rPr>
                <w:rFonts w:cstheme="minorHAnsi"/>
              </w:rPr>
              <w:t>67.80</w:t>
            </w:r>
          </w:p>
        </w:tc>
        <w:tc>
          <w:tcPr>
            <w:tcW w:w="720" w:type="dxa"/>
            <w:noWrap/>
            <w:hideMark/>
          </w:tcPr>
          <w:p w14:paraId="23CC7CBF" w14:textId="77777777" w:rsidR="00A02920" w:rsidRPr="008C49A5" w:rsidRDefault="00A02920" w:rsidP="008C49A5">
            <w:pPr>
              <w:jc w:val="both"/>
              <w:rPr>
                <w:rFonts w:cstheme="minorHAnsi"/>
              </w:rPr>
            </w:pPr>
            <w:r w:rsidRPr="008C49A5">
              <w:rPr>
                <w:rFonts w:cstheme="minorHAnsi"/>
              </w:rPr>
              <w:t>99.53</w:t>
            </w:r>
          </w:p>
        </w:tc>
        <w:tc>
          <w:tcPr>
            <w:tcW w:w="720" w:type="dxa"/>
            <w:noWrap/>
            <w:hideMark/>
          </w:tcPr>
          <w:p w14:paraId="76DA7171" w14:textId="77777777" w:rsidR="00A02920" w:rsidRPr="008C49A5" w:rsidRDefault="00A02920" w:rsidP="008C49A5">
            <w:pPr>
              <w:jc w:val="both"/>
              <w:rPr>
                <w:rFonts w:cstheme="minorHAnsi"/>
              </w:rPr>
            </w:pPr>
            <w:r w:rsidRPr="008C49A5">
              <w:rPr>
                <w:rFonts w:cstheme="minorHAnsi"/>
              </w:rPr>
              <w:t>67.48</w:t>
            </w:r>
          </w:p>
        </w:tc>
        <w:tc>
          <w:tcPr>
            <w:tcW w:w="720" w:type="dxa"/>
            <w:noWrap/>
            <w:hideMark/>
          </w:tcPr>
          <w:p w14:paraId="353EF5E3" w14:textId="77777777" w:rsidR="00A02920" w:rsidRPr="008C49A5" w:rsidRDefault="00A02920" w:rsidP="008C49A5">
            <w:pPr>
              <w:jc w:val="both"/>
              <w:rPr>
                <w:rFonts w:cstheme="minorHAnsi"/>
              </w:rPr>
            </w:pPr>
            <w:r w:rsidRPr="008C49A5">
              <w:rPr>
                <w:rFonts w:cstheme="minorHAnsi"/>
              </w:rPr>
              <w:t>64.50</w:t>
            </w:r>
          </w:p>
        </w:tc>
        <w:tc>
          <w:tcPr>
            <w:tcW w:w="900" w:type="dxa"/>
            <w:noWrap/>
            <w:hideMark/>
          </w:tcPr>
          <w:p w14:paraId="4B6BC66D" w14:textId="77777777" w:rsidR="00A02920" w:rsidRPr="008C49A5" w:rsidRDefault="00A02920" w:rsidP="008C49A5">
            <w:pPr>
              <w:jc w:val="both"/>
              <w:rPr>
                <w:rFonts w:cstheme="minorHAnsi"/>
              </w:rPr>
            </w:pPr>
            <w:r w:rsidRPr="008C49A5">
              <w:rPr>
                <w:rFonts w:cstheme="minorHAnsi"/>
              </w:rPr>
              <w:t>4.62</w:t>
            </w:r>
          </w:p>
        </w:tc>
      </w:tr>
      <w:tr w:rsidR="00A02920" w:rsidRPr="008C49A5" w14:paraId="514BF0F8" w14:textId="77777777" w:rsidTr="00A02920">
        <w:trPr>
          <w:trHeight w:val="290"/>
        </w:trPr>
        <w:tc>
          <w:tcPr>
            <w:tcW w:w="1605" w:type="dxa"/>
            <w:noWrap/>
            <w:hideMark/>
          </w:tcPr>
          <w:p w14:paraId="4F44236A" w14:textId="77777777" w:rsidR="00A02920" w:rsidRPr="008C49A5" w:rsidRDefault="00A02920" w:rsidP="008C49A5">
            <w:pPr>
              <w:jc w:val="both"/>
              <w:rPr>
                <w:rFonts w:cstheme="minorHAnsi"/>
              </w:rPr>
            </w:pPr>
            <w:r w:rsidRPr="008C49A5">
              <w:rPr>
                <w:rFonts w:cstheme="minorHAnsi"/>
              </w:rPr>
              <w:t>SECTOR AVERAGE</w:t>
            </w:r>
          </w:p>
        </w:tc>
        <w:tc>
          <w:tcPr>
            <w:tcW w:w="1195" w:type="dxa"/>
            <w:noWrap/>
            <w:hideMark/>
          </w:tcPr>
          <w:p w14:paraId="040F84CF" w14:textId="77777777" w:rsidR="00A02920" w:rsidRPr="008C49A5" w:rsidRDefault="00A02920" w:rsidP="008C49A5">
            <w:pPr>
              <w:jc w:val="both"/>
              <w:rPr>
                <w:rFonts w:cstheme="minorHAnsi"/>
              </w:rPr>
            </w:pPr>
          </w:p>
        </w:tc>
        <w:tc>
          <w:tcPr>
            <w:tcW w:w="1065" w:type="dxa"/>
            <w:noWrap/>
            <w:hideMark/>
          </w:tcPr>
          <w:p w14:paraId="6266BC55" w14:textId="77777777" w:rsidR="00A02920" w:rsidRPr="008C49A5" w:rsidRDefault="00A02920" w:rsidP="008C49A5">
            <w:pPr>
              <w:jc w:val="both"/>
              <w:rPr>
                <w:rFonts w:cstheme="minorHAnsi"/>
              </w:rPr>
            </w:pPr>
          </w:p>
        </w:tc>
        <w:tc>
          <w:tcPr>
            <w:tcW w:w="990" w:type="dxa"/>
            <w:noWrap/>
            <w:hideMark/>
          </w:tcPr>
          <w:p w14:paraId="1A53FF7E" w14:textId="77777777" w:rsidR="00A02920" w:rsidRPr="008C49A5" w:rsidRDefault="00A02920" w:rsidP="008C49A5">
            <w:pPr>
              <w:jc w:val="both"/>
              <w:rPr>
                <w:rFonts w:cstheme="minorHAnsi"/>
              </w:rPr>
            </w:pPr>
            <w:r w:rsidRPr="008C49A5">
              <w:rPr>
                <w:rFonts w:cstheme="minorHAnsi"/>
              </w:rPr>
              <w:t>7.96</w:t>
            </w:r>
          </w:p>
        </w:tc>
        <w:tc>
          <w:tcPr>
            <w:tcW w:w="810" w:type="dxa"/>
            <w:noWrap/>
            <w:hideMark/>
          </w:tcPr>
          <w:p w14:paraId="237D4CDB" w14:textId="77777777" w:rsidR="00A02920" w:rsidRPr="008C49A5" w:rsidRDefault="00A02920" w:rsidP="008C49A5">
            <w:pPr>
              <w:jc w:val="both"/>
              <w:rPr>
                <w:rFonts w:cstheme="minorHAnsi"/>
              </w:rPr>
            </w:pPr>
            <w:r w:rsidRPr="008C49A5">
              <w:rPr>
                <w:rFonts w:cstheme="minorHAnsi"/>
              </w:rPr>
              <w:t>1.41</w:t>
            </w:r>
          </w:p>
        </w:tc>
        <w:tc>
          <w:tcPr>
            <w:tcW w:w="900" w:type="dxa"/>
            <w:noWrap/>
            <w:hideMark/>
          </w:tcPr>
          <w:p w14:paraId="18FA3D5C" w14:textId="77777777" w:rsidR="00A02920" w:rsidRPr="008C49A5" w:rsidRDefault="00A02920" w:rsidP="008C49A5">
            <w:pPr>
              <w:jc w:val="both"/>
              <w:rPr>
                <w:rFonts w:cstheme="minorHAnsi"/>
              </w:rPr>
            </w:pPr>
          </w:p>
        </w:tc>
        <w:tc>
          <w:tcPr>
            <w:tcW w:w="720" w:type="dxa"/>
            <w:noWrap/>
            <w:hideMark/>
          </w:tcPr>
          <w:p w14:paraId="5310B70E" w14:textId="77777777" w:rsidR="00A02920" w:rsidRPr="008C49A5" w:rsidRDefault="00A02920" w:rsidP="008C49A5">
            <w:pPr>
              <w:jc w:val="both"/>
              <w:rPr>
                <w:rFonts w:cstheme="minorHAnsi"/>
              </w:rPr>
            </w:pPr>
          </w:p>
        </w:tc>
        <w:tc>
          <w:tcPr>
            <w:tcW w:w="720" w:type="dxa"/>
            <w:noWrap/>
            <w:hideMark/>
          </w:tcPr>
          <w:p w14:paraId="434B7C9C" w14:textId="77777777" w:rsidR="00A02920" w:rsidRPr="008C49A5" w:rsidRDefault="00A02920" w:rsidP="008C49A5">
            <w:pPr>
              <w:jc w:val="both"/>
              <w:rPr>
                <w:rFonts w:cstheme="minorHAnsi"/>
              </w:rPr>
            </w:pPr>
          </w:p>
        </w:tc>
        <w:tc>
          <w:tcPr>
            <w:tcW w:w="720" w:type="dxa"/>
            <w:noWrap/>
            <w:hideMark/>
          </w:tcPr>
          <w:p w14:paraId="41F8556C" w14:textId="77777777" w:rsidR="00A02920" w:rsidRPr="008C49A5" w:rsidRDefault="00A02920" w:rsidP="008C49A5">
            <w:pPr>
              <w:jc w:val="both"/>
              <w:rPr>
                <w:rFonts w:cstheme="minorHAnsi"/>
              </w:rPr>
            </w:pPr>
          </w:p>
        </w:tc>
        <w:tc>
          <w:tcPr>
            <w:tcW w:w="900" w:type="dxa"/>
            <w:noWrap/>
            <w:hideMark/>
          </w:tcPr>
          <w:p w14:paraId="6EF1E786" w14:textId="77777777" w:rsidR="00A02920" w:rsidRPr="008C49A5" w:rsidRDefault="00A02920" w:rsidP="008C49A5">
            <w:pPr>
              <w:jc w:val="both"/>
              <w:rPr>
                <w:rFonts w:cstheme="minorHAnsi"/>
              </w:rPr>
            </w:pPr>
            <w:r w:rsidRPr="008C49A5">
              <w:rPr>
                <w:rFonts w:cstheme="minorHAnsi"/>
              </w:rPr>
              <w:t>3.43</w:t>
            </w:r>
          </w:p>
        </w:tc>
      </w:tr>
    </w:tbl>
    <w:p w14:paraId="63597EAD" w14:textId="77777777" w:rsidR="00A02920" w:rsidRPr="009E588C" w:rsidRDefault="00A02920" w:rsidP="008C49A5">
      <w:pPr>
        <w:jc w:val="both"/>
        <w:rPr>
          <w:rFonts w:cstheme="minorHAnsi"/>
        </w:rPr>
      </w:pPr>
    </w:p>
    <w:p w14:paraId="3C267DB2" w14:textId="77777777" w:rsidR="00A02920" w:rsidRPr="00A02920" w:rsidRDefault="00A02920" w:rsidP="008C49A5">
      <w:pPr>
        <w:spacing w:line="240" w:lineRule="auto"/>
        <w:jc w:val="both"/>
        <w:rPr>
          <w:rFonts w:cstheme="minorHAnsi"/>
        </w:rPr>
      </w:pPr>
      <w:r w:rsidRPr="00A02920">
        <w:rPr>
          <w:rFonts w:cstheme="minorHAnsi"/>
          <w:b/>
          <w:bCs/>
        </w:rPr>
        <w:t>Gross Profit Comparison:</w:t>
      </w:r>
    </w:p>
    <w:p w14:paraId="2BB0E58A" w14:textId="77777777" w:rsidR="00A02920" w:rsidRPr="00A02920" w:rsidRDefault="00A02920" w:rsidP="008C49A5">
      <w:pPr>
        <w:numPr>
          <w:ilvl w:val="0"/>
          <w:numId w:val="19"/>
        </w:numPr>
        <w:spacing w:line="240" w:lineRule="auto"/>
        <w:jc w:val="both"/>
        <w:rPr>
          <w:rFonts w:cstheme="minorHAnsi"/>
        </w:rPr>
      </w:pPr>
      <w:r w:rsidRPr="00A02920">
        <w:rPr>
          <w:rFonts w:cstheme="minorHAnsi"/>
          <w:b/>
          <w:bCs/>
        </w:rPr>
        <w:t>Ready Capital Corp:</w:t>
      </w:r>
    </w:p>
    <w:p w14:paraId="3C62AABC" w14:textId="77777777" w:rsidR="00A02920" w:rsidRPr="00A02920" w:rsidRDefault="00A02920" w:rsidP="008C49A5">
      <w:pPr>
        <w:numPr>
          <w:ilvl w:val="1"/>
          <w:numId w:val="19"/>
        </w:numPr>
        <w:spacing w:line="240" w:lineRule="auto"/>
        <w:jc w:val="both"/>
        <w:rPr>
          <w:rFonts w:cstheme="minorHAnsi"/>
        </w:rPr>
      </w:pPr>
      <w:r w:rsidRPr="00A02920">
        <w:rPr>
          <w:rFonts w:cstheme="minorHAnsi"/>
        </w:rPr>
        <w:t>GP: $1,089.31M</w:t>
      </w:r>
    </w:p>
    <w:p w14:paraId="303CD2B4" w14:textId="77777777" w:rsidR="00A02920" w:rsidRPr="00A02920" w:rsidRDefault="00A02920" w:rsidP="008C49A5">
      <w:pPr>
        <w:numPr>
          <w:ilvl w:val="1"/>
          <w:numId w:val="19"/>
        </w:numPr>
        <w:spacing w:line="240" w:lineRule="auto"/>
        <w:jc w:val="both"/>
        <w:rPr>
          <w:rFonts w:cstheme="minorHAnsi"/>
        </w:rPr>
      </w:pPr>
      <w:r w:rsidRPr="00A02920">
        <w:rPr>
          <w:rFonts w:cstheme="minorHAnsi"/>
        </w:rPr>
        <w:t>GPG: 3.73%</w:t>
      </w:r>
    </w:p>
    <w:p w14:paraId="286C0627" w14:textId="77777777" w:rsidR="00A02920" w:rsidRPr="00A02920" w:rsidRDefault="00A02920" w:rsidP="008C49A5">
      <w:pPr>
        <w:numPr>
          <w:ilvl w:val="0"/>
          <w:numId w:val="19"/>
        </w:numPr>
        <w:spacing w:line="240" w:lineRule="auto"/>
        <w:jc w:val="both"/>
        <w:rPr>
          <w:rFonts w:cstheme="minorHAnsi"/>
        </w:rPr>
      </w:pPr>
      <w:r w:rsidRPr="00A02920">
        <w:rPr>
          <w:rFonts w:cstheme="minorHAnsi"/>
          <w:b/>
          <w:bCs/>
        </w:rPr>
        <w:t>Comstock Holding Co. Inc:</w:t>
      </w:r>
    </w:p>
    <w:p w14:paraId="5334D9F0" w14:textId="77777777" w:rsidR="00A02920" w:rsidRPr="00A02920" w:rsidRDefault="00A02920" w:rsidP="008C49A5">
      <w:pPr>
        <w:numPr>
          <w:ilvl w:val="1"/>
          <w:numId w:val="19"/>
        </w:numPr>
        <w:spacing w:line="240" w:lineRule="auto"/>
        <w:jc w:val="both"/>
        <w:rPr>
          <w:rFonts w:cstheme="minorHAnsi"/>
        </w:rPr>
      </w:pPr>
      <w:r w:rsidRPr="00A02920">
        <w:rPr>
          <w:rFonts w:cstheme="minorHAnsi"/>
        </w:rPr>
        <w:t>GP: $11.27M</w:t>
      </w:r>
    </w:p>
    <w:p w14:paraId="2D99A8E0" w14:textId="77777777" w:rsidR="00A02920" w:rsidRPr="00A02920" w:rsidRDefault="00A02920" w:rsidP="008C49A5">
      <w:pPr>
        <w:numPr>
          <w:ilvl w:val="1"/>
          <w:numId w:val="19"/>
        </w:numPr>
        <w:spacing w:line="240" w:lineRule="auto"/>
        <w:jc w:val="both"/>
        <w:rPr>
          <w:rFonts w:cstheme="minorHAnsi"/>
        </w:rPr>
      </w:pPr>
      <w:r w:rsidRPr="00A02920">
        <w:rPr>
          <w:rFonts w:cstheme="minorHAnsi"/>
        </w:rPr>
        <w:t>GPG: -1.74%</w:t>
      </w:r>
    </w:p>
    <w:p w14:paraId="7AF0674C" w14:textId="77777777" w:rsidR="00A02920" w:rsidRPr="00A02920" w:rsidRDefault="00A02920" w:rsidP="008C49A5">
      <w:pPr>
        <w:numPr>
          <w:ilvl w:val="0"/>
          <w:numId w:val="19"/>
        </w:numPr>
        <w:spacing w:line="240" w:lineRule="auto"/>
        <w:jc w:val="both"/>
        <w:rPr>
          <w:rFonts w:cstheme="minorHAnsi"/>
        </w:rPr>
      </w:pPr>
      <w:r w:rsidRPr="00A02920">
        <w:rPr>
          <w:rFonts w:cstheme="minorHAnsi"/>
          <w:b/>
          <w:bCs/>
        </w:rPr>
        <w:t>Rithm Capital Corporation:</w:t>
      </w:r>
    </w:p>
    <w:p w14:paraId="73B7CB36" w14:textId="77777777" w:rsidR="00A02920" w:rsidRPr="00A02920" w:rsidRDefault="00A02920" w:rsidP="008C49A5">
      <w:pPr>
        <w:numPr>
          <w:ilvl w:val="1"/>
          <w:numId w:val="19"/>
        </w:numPr>
        <w:spacing w:line="240" w:lineRule="auto"/>
        <w:jc w:val="both"/>
        <w:rPr>
          <w:rFonts w:cstheme="minorHAnsi"/>
        </w:rPr>
      </w:pPr>
      <w:r w:rsidRPr="00A02920">
        <w:rPr>
          <w:rFonts w:cstheme="minorHAnsi"/>
        </w:rPr>
        <w:t>GP: $3,874.17M</w:t>
      </w:r>
    </w:p>
    <w:p w14:paraId="6CFBD984" w14:textId="77777777" w:rsidR="00A02920" w:rsidRPr="00A02920" w:rsidRDefault="00A02920" w:rsidP="008C49A5">
      <w:pPr>
        <w:numPr>
          <w:ilvl w:val="1"/>
          <w:numId w:val="19"/>
        </w:numPr>
        <w:spacing w:line="240" w:lineRule="auto"/>
        <w:jc w:val="both"/>
        <w:rPr>
          <w:rFonts w:cstheme="minorHAnsi"/>
        </w:rPr>
      </w:pPr>
      <w:r w:rsidRPr="00A02920">
        <w:rPr>
          <w:rFonts w:cstheme="minorHAnsi"/>
        </w:rPr>
        <w:t>GPG: 7.10%</w:t>
      </w:r>
    </w:p>
    <w:p w14:paraId="14D48362" w14:textId="77777777" w:rsidR="00A02920" w:rsidRPr="00A02920" w:rsidRDefault="00A02920" w:rsidP="008C49A5">
      <w:pPr>
        <w:numPr>
          <w:ilvl w:val="0"/>
          <w:numId w:val="19"/>
        </w:numPr>
        <w:spacing w:line="240" w:lineRule="auto"/>
        <w:jc w:val="both"/>
        <w:rPr>
          <w:rFonts w:cstheme="minorHAnsi"/>
        </w:rPr>
      </w:pPr>
      <w:r w:rsidRPr="00A02920">
        <w:rPr>
          <w:rFonts w:cstheme="minorHAnsi"/>
          <w:b/>
          <w:bCs/>
        </w:rPr>
        <w:t>Sachem Capital Corp:</w:t>
      </w:r>
    </w:p>
    <w:p w14:paraId="37C105C4" w14:textId="77777777" w:rsidR="00A02920" w:rsidRPr="00A02920" w:rsidRDefault="00A02920" w:rsidP="008C49A5">
      <w:pPr>
        <w:numPr>
          <w:ilvl w:val="1"/>
          <w:numId w:val="19"/>
        </w:numPr>
        <w:spacing w:line="240" w:lineRule="auto"/>
        <w:jc w:val="both"/>
        <w:rPr>
          <w:rFonts w:cstheme="minorHAnsi"/>
        </w:rPr>
      </w:pPr>
      <w:r w:rsidRPr="00A02920">
        <w:rPr>
          <w:rFonts w:cstheme="minorHAnsi"/>
        </w:rPr>
        <w:t>GP: $67.48M</w:t>
      </w:r>
    </w:p>
    <w:p w14:paraId="4CD4D38F" w14:textId="0BCD646E" w:rsidR="00A02920" w:rsidRPr="008C49A5" w:rsidRDefault="00A02920" w:rsidP="008C49A5">
      <w:pPr>
        <w:numPr>
          <w:ilvl w:val="1"/>
          <w:numId w:val="19"/>
        </w:numPr>
        <w:spacing w:line="240" w:lineRule="auto"/>
        <w:jc w:val="both"/>
        <w:rPr>
          <w:rFonts w:cstheme="minorHAnsi"/>
        </w:rPr>
      </w:pPr>
      <w:r w:rsidRPr="00A02920">
        <w:rPr>
          <w:rFonts w:cstheme="minorHAnsi"/>
        </w:rPr>
        <w:t>GPG: 4.62%</w:t>
      </w:r>
    </w:p>
    <w:p w14:paraId="40CE3185" w14:textId="1BC4F216" w:rsidR="00A02920" w:rsidRPr="00A02920" w:rsidRDefault="00A02920" w:rsidP="008C49A5">
      <w:pPr>
        <w:jc w:val="both"/>
        <w:rPr>
          <w:rFonts w:cstheme="minorHAnsi"/>
        </w:rPr>
      </w:pPr>
      <w:r w:rsidRPr="00A02920">
        <w:rPr>
          <w:rFonts w:cstheme="minorHAnsi"/>
          <w:b/>
          <w:bCs/>
        </w:rPr>
        <w:t>Observation:</w:t>
      </w:r>
    </w:p>
    <w:p w14:paraId="414E9DA0" w14:textId="77777777" w:rsidR="00A02920" w:rsidRPr="00A02920" w:rsidRDefault="00A02920" w:rsidP="008C49A5">
      <w:pPr>
        <w:numPr>
          <w:ilvl w:val="0"/>
          <w:numId w:val="20"/>
        </w:numPr>
        <w:jc w:val="both"/>
        <w:rPr>
          <w:rFonts w:cstheme="minorHAnsi"/>
        </w:rPr>
      </w:pPr>
      <w:r w:rsidRPr="00A02920">
        <w:rPr>
          <w:rFonts w:cstheme="minorHAnsi"/>
          <w:b/>
          <w:bCs/>
        </w:rPr>
        <w:t>Gross Profit:</w:t>
      </w:r>
      <w:r w:rsidRPr="00A02920">
        <w:rPr>
          <w:rFonts w:cstheme="minorHAnsi"/>
        </w:rPr>
        <w:t xml:space="preserve"> Rithm Capital Corporation has the highest gross profit, followed by Ready Capital Corp. Comstock Holding Co. Inc has the lowest gross profit.</w:t>
      </w:r>
    </w:p>
    <w:p w14:paraId="0001D999" w14:textId="77777777" w:rsidR="00A02920" w:rsidRPr="00A02920" w:rsidRDefault="00A02920" w:rsidP="008C49A5">
      <w:pPr>
        <w:numPr>
          <w:ilvl w:val="0"/>
          <w:numId w:val="20"/>
        </w:numPr>
        <w:jc w:val="both"/>
        <w:rPr>
          <w:rFonts w:cstheme="minorHAnsi"/>
        </w:rPr>
      </w:pPr>
      <w:r w:rsidRPr="00A02920">
        <w:rPr>
          <w:rFonts w:cstheme="minorHAnsi"/>
          <w:b/>
          <w:bCs/>
        </w:rPr>
        <w:lastRenderedPageBreak/>
        <w:t>Gross Profit Growth:</w:t>
      </w:r>
      <w:r w:rsidRPr="00A02920">
        <w:rPr>
          <w:rFonts w:cstheme="minorHAnsi"/>
        </w:rPr>
        <w:t xml:space="preserve"> Rithm Capital Corporation shows the highest growth rate, with Ready Capital Corp also performing well. Comstock Holding Co. Inc has a negative growth rate.</w:t>
      </w:r>
    </w:p>
    <w:p w14:paraId="0F021ACD" w14:textId="77777777" w:rsidR="00A02920" w:rsidRPr="00A02920" w:rsidRDefault="00A02920" w:rsidP="008C49A5">
      <w:pPr>
        <w:jc w:val="both"/>
        <w:rPr>
          <w:rFonts w:cstheme="minorHAnsi"/>
        </w:rPr>
      </w:pPr>
      <w:r w:rsidRPr="00A02920">
        <w:rPr>
          <w:rFonts w:cstheme="minorHAnsi"/>
          <w:b/>
          <w:bCs/>
        </w:rPr>
        <w:t>Valuation Metrics Comparison:</w:t>
      </w:r>
    </w:p>
    <w:p w14:paraId="5ECADA63" w14:textId="77777777" w:rsidR="00A02920" w:rsidRPr="00A02920" w:rsidRDefault="00A02920" w:rsidP="008C49A5">
      <w:pPr>
        <w:numPr>
          <w:ilvl w:val="0"/>
          <w:numId w:val="23"/>
        </w:numPr>
        <w:jc w:val="both"/>
        <w:rPr>
          <w:rFonts w:cstheme="minorHAnsi"/>
        </w:rPr>
      </w:pPr>
      <w:r w:rsidRPr="00A02920">
        <w:rPr>
          <w:rFonts w:cstheme="minorHAnsi"/>
          <w:b/>
          <w:bCs/>
        </w:rPr>
        <w:t>Market Capitalization:</w:t>
      </w:r>
      <w:r w:rsidRPr="00A02920">
        <w:rPr>
          <w:rFonts w:cstheme="minorHAnsi"/>
        </w:rPr>
        <w:t xml:space="preserve"> Ready Capital Corp is mid-sized in its sector.</w:t>
      </w:r>
    </w:p>
    <w:p w14:paraId="2728FB18" w14:textId="77777777" w:rsidR="00A02920" w:rsidRPr="00A02920" w:rsidRDefault="00A02920" w:rsidP="008C49A5">
      <w:pPr>
        <w:numPr>
          <w:ilvl w:val="0"/>
          <w:numId w:val="23"/>
        </w:numPr>
        <w:jc w:val="both"/>
        <w:rPr>
          <w:rFonts w:cstheme="minorHAnsi"/>
        </w:rPr>
      </w:pPr>
      <w:r w:rsidRPr="00A02920">
        <w:rPr>
          <w:rFonts w:cstheme="minorHAnsi"/>
          <w:b/>
          <w:bCs/>
        </w:rPr>
        <w:t>P/E Ratio:</w:t>
      </w:r>
      <w:r w:rsidRPr="00A02920">
        <w:rPr>
          <w:rFonts w:cstheme="minorHAnsi"/>
        </w:rPr>
        <w:t xml:space="preserve"> Ready Capital Corp has a low P/E ratio (5.87), below the sector average (7.96), indicating a lower valuation relative to earnings.</w:t>
      </w:r>
    </w:p>
    <w:p w14:paraId="6A3591E5" w14:textId="77777777" w:rsidR="00A02920" w:rsidRPr="00A02920" w:rsidRDefault="00A02920" w:rsidP="008C49A5">
      <w:pPr>
        <w:numPr>
          <w:ilvl w:val="0"/>
          <w:numId w:val="23"/>
        </w:numPr>
        <w:jc w:val="both"/>
        <w:rPr>
          <w:rFonts w:cstheme="minorHAnsi"/>
        </w:rPr>
      </w:pPr>
      <w:r w:rsidRPr="00A02920">
        <w:rPr>
          <w:rFonts w:cstheme="minorHAnsi"/>
          <w:b/>
          <w:bCs/>
        </w:rPr>
        <w:t>P/S Ratio:</w:t>
      </w:r>
      <w:r w:rsidRPr="00A02920">
        <w:rPr>
          <w:rFonts w:cstheme="minorHAnsi"/>
        </w:rPr>
        <w:t xml:space="preserve"> Ready Capital Corp has a lower P/S ratio (1.31) compared to the sector average (1.41), suggesting undervaluation relative to its sales.</w:t>
      </w:r>
    </w:p>
    <w:p w14:paraId="43988281" w14:textId="77777777" w:rsidR="00A02920" w:rsidRPr="00A02920" w:rsidRDefault="00A02920" w:rsidP="008C49A5">
      <w:pPr>
        <w:jc w:val="both"/>
        <w:rPr>
          <w:rFonts w:cstheme="minorHAnsi"/>
        </w:rPr>
      </w:pPr>
    </w:p>
    <w:p w14:paraId="0F6AB114" w14:textId="2BB1B1AC" w:rsidR="00A45768" w:rsidRPr="008C49A5" w:rsidRDefault="006E4472" w:rsidP="008C49A5">
      <w:pPr>
        <w:jc w:val="both"/>
        <w:rPr>
          <w:rFonts w:cstheme="minorHAnsi"/>
        </w:rPr>
      </w:pPr>
      <w:r w:rsidRPr="008C49A5">
        <w:rPr>
          <w:rFonts w:cstheme="minorHAnsi"/>
          <w:b/>
          <w:bCs/>
        </w:rPr>
        <w:t>Summary</w:t>
      </w:r>
      <w:r w:rsidRPr="008C49A5">
        <w:rPr>
          <w:rFonts w:cstheme="minorHAnsi"/>
        </w:rPr>
        <w:t>: Ready Capital Corp exhibits a strong gross profit ($1,089.31M) and a solid growth rate (3.73%), with valuation metrics (P/E and P/S ratios) indicating it is undervalued compared to its sector peers. The combination of substantial gross profit and lower valuation metrics suggests Ready Capital Corp is potentially undervalued and poised for growth.</w:t>
      </w:r>
    </w:p>
    <w:p w14:paraId="0130F38D" w14:textId="77777777" w:rsidR="006E4472" w:rsidRPr="008C49A5" w:rsidRDefault="006E4472" w:rsidP="008C49A5">
      <w:pPr>
        <w:jc w:val="both"/>
        <w:rPr>
          <w:rFonts w:cstheme="minorHAnsi"/>
          <w:b/>
          <w:bCs/>
        </w:rPr>
      </w:pPr>
    </w:p>
    <w:p w14:paraId="36DF46DD" w14:textId="6EBA4E0E" w:rsidR="006E4472" w:rsidRPr="008C49A5" w:rsidRDefault="006E4472" w:rsidP="008C49A5">
      <w:pPr>
        <w:jc w:val="both"/>
        <w:rPr>
          <w:rFonts w:cstheme="minorHAnsi"/>
          <w:b/>
          <w:bCs/>
        </w:rPr>
      </w:pPr>
      <w:r w:rsidRPr="008C49A5">
        <w:rPr>
          <w:rFonts w:cstheme="minorHAnsi"/>
          <w:b/>
          <w:bCs/>
        </w:rPr>
        <w:t xml:space="preserve">(4) Chosen Company: </w:t>
      </w:r>
      <w:r w:rsidRPr="008C49A5">
        <w:rPr>
          <w:rFonts w:cstheme="minorHAnsi"/>
          <w:b/>
          <w:bCs/>
        </w:rPr>
        <w:t>Fox Corporation</w:t>
      </w:r>
    </w:p>
    <w:tbl>
      <w:tblPr>
        <w:tblStyle w:val="TableGrid"/>
        <w:tblW w:w="9625" w:type="dxa"/>
        <w:tblLayout w:type="fixed"/>
        <w:tblLook w:val="04A0" w:firstRow="1" w:lastRow="0" w:firstColumn="1" w:lastColumn="0" w:noHBand="0" w:noVBand="1"/>
      </w:tblPr>
      <w:tblGrid>
        <w:gridCol w:w="1434"/>
        <w:gridCol w:w="1435"/>
        <w:gridCol w:w="1106"/>
        <w:gridCol w:w="711"/>
        <w:gridCol w:w="732"/>
        <w:gridCol w:w="873"/>
        <w:gridCol w:w="814"/>
        <w:gridCol w:w="741"/>
        <w:gridCol w:w="879"/>
        <w:gridCol w:w="900"/>
      </w:tblGrid>
      <w:tr w:rsidR="006E4472" w:rsidRPr="008C49A5" w14:paraId="63B09699" w14:textId="77777777" w:rsidTr="006E4472">
        <w:trPr>
          <w:trHeight w:val="290"/>
        </w:trPr>
        <w:tc>
          <w:tcPr>
            <w:tcW w:w="1434" w:type="dxa"/>
            <w:noWrap/>
            <w:hideMark/>
          </w:tcPr>
          <w:p w14:paraId="35E6D6DA" w14:textId="32090BC6" w:rsidR="006E4472" w:rsidRPr="008C49A5" w:rsidRDefault="006E4472" w:rsidP="008C49A5">
            <w:pPr>
              <w:jc w:val="both"/>
              <w:rPr>
                <w:rFonts w:cstheme="minorHAnsi"/>
              </w:rPr>
            </w:pPr>
            <w:r w:rsidRPr="008C49A5">
              <w:rPr>
                <w:rFonts w:cstheme="minorHAnsi"/>
              </w:rPr>
              <w:t>COMMUNICATION SERVICES</w:t>
            </w:r>
            <w:r w:rsidRPr="008C49A5">
              <w:rPr>
                <w:rFonts w:cstheme="minorHAnsi"/>
              </w:rPr>
              <w:t xml:space="preserve"> SECTOR</w:t>
            </w:r>
          </w:p>
        </w:tc>
        <w:tc>
          <w:tcPr>
            <w:tcW w:w="1435" w:type="dxa"/>
            <w:noWrap/>
            <w:hideMark/>
          </w:tcPr>
          <w:p w14:paraId="73CD41FC" w14:textId="77777777" w:rsidR="006E4472" w:rsidRPr="008C49A5" w:rsidRDefault="006E4472" w:rsidP="008C49A5">
            <w:pPr>
              <w:jc w:val="both"/>
              <w:rPr>
                <w:rFonts w:cstheme="minorHAnsi"/>
              </w:rPr>
            </w:pPr>
          </w:p>
        </w:tc>
        <w:tc>
          <w:tcPr>
            <w:tcW w:w="1106" w:type="dxa"/>
            <w:noWrap/>
            <w:hideMark/>
          </w:tcPr>
          <w:p w14:paraId="246943C1" w14:textId="77777777" w:rsidR="006E4472" w:rsidRPr="008C49A5" w:rsidRDefault="006E4472" w:rsidP="008C49A5">
            <w:pPr>
              <w:jc w:val="both"/>
              <w:rPr>
                <w:rFonts w:cstheme="minorHAnsi"/>
              </w:rPr>
            </w:pPr>
          </w:p>
        </w:tc>
        <w:tc>
          <w:tcPr>
            <w:tcW w:w="711" w:type="dxa"/>
            <w:noWrap/>
            <w:hideMark/>
          </w:tcPr>
          <w:p w14:paraId="75590978" w14:textId="77777777" w:rsidR="006E4472" w:rsidRPr="008C49A5" w:rsidRDefault="006E4472" w:rsidP="008C49A5">
            <w:pPr>
              <w:jc w:val="both"/>
              <w:rPr>
                <w:rFonts w:cstheme="minorHAnsi"/>
              </w:rPr>
            </w:pPr>
          </w:p>
        </w:tc>
        <w:tc>
          <w:tcPr>
            <w:tcW w:w="732" w:type="dxa"/>
            <w:noWrap/>
            <w:hideMark/>
          </w:tcPr>
          <w:p w14:paraId="73CD2FEF" w14:textId="77777777" w:rsidR="006E4472" w:rsidRPr="008C49A5" w:rsidRDefault="006E4472" w:rsidP="008C49A5">
            <w:pPr>
              <w:jc w:val="both"/>
              <w:rPr>
                <w:rFonts w:cstheme="minorHAnsi"/>
              </w:rPr>
            </w:pPr>
          </w:p>
        </w:tc>
        <w:tc>
          <w:tcPr>
            <w:tcW w:w="873" w:type="dxa"/>
            <w:noWrap/>
            <w:hideMark/>
          </w:tcPr>
          <w:p w14:paraId="21B4E108" w14:textId="77777777" w:rsidR="006E4472" w:rsidRPr="008C49A5" w:rsidRDefault="006E4472" w:rsidP="008C49A5">
            <w:pPr>
              <w:jc w:val="both"/>
              <w:rPr>
                <w:rFonts w:cstheme="minorHAnsi"/>
              </w:rPr>
            </w:pPr>
          </w:p>
        </w:tc>
        <w:tc>
          <w:tcPr>
            <w:tcW w:w="814" w:type="dxa"/>
            <w:noWrap/>
            <w:hideMark/>
          </w:tcPr>
          <w:p w14:paraId="3329B777" w14:textId="77777777" w:rsidR="006E4472" w:rsidRPr="008C49A5" w:rsidRDefault="006E4472" w:rsidP="008C49A5">
            <w:pPr>
              <w:jc w:val="both"/>
              <w:rPr>
                <w:rFonts w:cstheme="minorHAnsi"/>
              </w:rPr>
            </w:pPr>
          </w:p>
        </w:tc>
        <w:tc>
          <w:tcPr>
            <w:tcW w:w="741" w:type="dxa"/>
            <w:noWrap/>
            <w:hideMark/>
          </w:tcPr>
          <w:p w14:paraId="6270159D" w14:textId="77777777" w:rsidR="006E4472" w:rsidRPr="008C49A5" w:rsidRDefault="006E4472" w:rsidP="008C49A5">
            <w:pPr>
              <w:jc w:val="both"/>
              <w:rPr>
                <w:rFonts w:cstheme="minorHAnsi"/>
              </w:rPr>
            </w:pPr>
          </w:p>
        </w:tc>
        <w:tc>
          <w:tcPr>
            <w:tcW w:w="879" w:type="dxa"/>
            <w:noWrap/>
            <w:hideMark/>
          </w:tcPr>
          <w:p w14:paraId="00FA0985" w14:textId="77777777" w:rsidR="006E4472" w:rsidRPr="008C49A5" w:rsidRDefault="006E4472" w:rsidP="008C49A5">
            <w:pPr>
              <w:jc w:val="both"/>
              <w:rPr>
                <w:rFonts w:cstheme="minorHAnsi"/>
              </w:rPr>
            </w:pPr>
          </w:p>
        </w:tc>
        <w:tc>
          <w:tcPr>
            <w:tcW w:w="900" w:type="dxa"/>
            <w:noWrap/>
            <w:hideMark/>
          </w:tcPr>
          <w:p w14:paraId="134BF2DC" w14:textId="77777777" w:rsidR="006E4472" w:rsidRPr="008C49A5" w:rsidRDefault="006E4472" w:rsidP="008C49A5">
            <w:pPr>
              <w:jc w:val="both"/>
              <w:rPr>
                <w:rFonts w:cstheme="minorHAnsi"/>
              </w:rPr>
            </w:pPr>
          </w:p>
        </w:tc>
      </w:tr>
      <w:tr w:rsidR="006E4472" w:rsidRPr="008C49A5" w14:paraId="3A716D97" w14:textId="77777777" w:rsidTr="006E4472">
        <w:trPr>
          <w:trHeight w:val="870"/>
        </w:trPr>
        <w:tc>
          <w:tcPr>
            <w:tcW w:w="1434" w:type="dxa"/>
            <w:noWrap/>
            <w:hideMark/>
          </w:tcPr>
          <w:p w14:paraId="088E452A" w14:textId="77777777" w:rsidR="006E4472" w:rsidRPr="008C49A5" w:rsidRDefault="006E4472" w:rsidP="008C49A5">
            <w:pPr>
              <w:jc w:val="both"/>
              <w:rPr>
                <w:rFonts w:cstheme="minorHAnsi"/>
              </w:rPr>
            </w:pPr>
            <w:r w:rsidRPr="008C49A5">
              <w:rPr>
                <w:rFonts w:cstheme="minorHAnsi"/>
              </w:rPr>
              <w:t>Company Name</w:t>
            </w:r>
          </w:p>
        </w:tc>
        <w:tc>
          <w:tcPr>
            <w:tcW w:w="1435" w:type="dxa"/>
            <w:noWrap/>
            <w:hideMark/>
          </w:tcPr>
          <w:p w14:paraId="55000252" w14:textId="77777777" w:rsidR="006E4472" w:rsidRPr="008C49A5" w:rsidRDefault="006E4472" w:rsidP="008C49A5">
            <w:pPr>
              <w:jc w:val="both"/>
              <w:rPr>
                <w:rFonts w:cstheme="minorHAnsi"/>
              </w:rPr>
            </w:pPr>
            <w:r w:rsidRPr="008C49A5">
              <w:rPr>
                <w:rFonts w:cstheme="minorHAnsi"/>
              </w:rPr>
              <w:t>Sector</w:t>
            </w:r>
          </w:p>
        </w:tc>
        <w:tc>
          <w:tcPr>
            <w:tcW w:w="1106" w:type="dxa"/>
            <w:noWrap/>
            <w:hideMark/>
          </w:tcPr>
          <w:p w14:paraId="7C65E81D" w14:textId="23BFA73A" w:rsidR="006E4472" w:rsidRPr="008C49A5" w:rsidRDefault="006E4472" w:rsidP="008C49A5">
            <w:pPr>
              <w:jc w:val="both"/>
              <w:rPr>
                <w:rFonts w:cstheme="minorHAnsi"/>
              </w:rPr>
            </w:pPr>
            <w:r w:rsidRPr="008C49A5">
              <w:rPr>
                <w:rFonts w:cstheme="minorHAnsi"/>
              </w:rPr>
              <w:t xml:space="preserve">Market </w:t>
            </w:r>
            <w:r w:rsidRPr="008C49A5">
              <w:rPr>
                <w:rFonts w:cstheme="minorHAnsi"/>
              </w:rPr>
              <w:t>Capitalization (</w:t>
            </w:r>
            <w:r w:rsidRPr="008C49A5">
              <w:rPr>
                <w:rFonts w:cstheme="minorHAnsi"/>
              </w:rPr>
              <w:t xml:space="preserve">$) </w:t>
            </w:r>
          </w:p>
        </w:tc>
        <w:tc>
          <w:tcPr>
            <w:tcW w:w="711" w:type="dxa"/>
            <w:hideMark/>
          </w:tcPr>
          <w:p w14:paraId="6C86A90D" w14:textId="0EF098CC" w:rsidR="006E4472" w:rsidRPr="008C49A5" w:rsidRDefault="006E4472" w:rsidP="008C49A5">
            <w:pPr>
              <w:jc w:val="both"/>
              <w:rPr>
                <w:rFonts w:cstheme="minorHAnsi"/>
              </w:rPr>
            </w:pPr>
            <w:r w:rsidRPr="008C49A5">
              <w:rPr>
                <w:rFonts w:cstheme="minorHAnsi"/>
              </w:rPr>
              <w:t xml:space="preserve">Price to </w:t>
            </w:r>
            <w:r w:rsidRPr="008C49A5">
              <w:rPr>
                <w:rFonts w:cstheme="minorHAnsi"/>
              </w:rPr>
              <w:t>Earnings</w:t>
            </w:r>
            <w:r w:rsidRPr="008C49A5">
              <w:rPr>
                <w:rFonts w:cstheme="minorHAnsi"/>
              </w:rPr>
              <w:t xml:space="preserve"> Ratio (P/E)</w:t>
            </w:r>
          </w:p>
        </w:tc>
        <w:tc>
          <w:tcPr>
            <w:tcW w:w="732" w:type="dxa"/>
            <w:hideMark/>
          </w:tcPr>
          <w:p w14:paraId="05105621" w14:textId="77777777" w:rsidR="006E4472" w:rsidRPr="008C49A5" w:rsidRDefault="006E4472" w:rsidP="008C49A5">
            <w:pPr>
              <w:jc w:val="both"/>
              <w:rPr>
                <w:rFonts w:cstheme="minorHAnsi"/>
              </w:rPr>
            </w:pPr>
            <w:r w:rsidRPr="008C49A5">
              <w:rPr>
                <w:rFonts w:cstheme="minorHAnsi"/>
              </w:rPr>
              <w:t>Price to Sales Ratio (P/S)</w:t>
            </w:r>
          </w:p>
        </w:tc>
        <w:tc>
          <w:tcPr>
            <w:tcW w:w="873" w:type="dxa"/>
            <w:noWrap/>
            <w:hideMark/>
          </w:tcPr>
          <w:p w14:paraId="5EC4F3F2" w14:textId="77777777" w:rsidR="006E4472" w:rsidRPr="008C49A5" w:rsidRDefault="006E4472" w:rsidP="008C49A5">
            <w:pPr>
              <w:jc w:val="both"/>
              <w:rPr>
                <w:rFonts w:cstheme="minorHAnsi"/>
              </w:rPr>
            </w:pPr>
            <w:r w:rsidRPr="008C49A5">
              <w:rPr>
                <w:rFonts w:cstheme="minorHAnsi"/>
              </w:rPr>
              <w:t>Total Revenue ($M)</w:t>
            </w:r>
          </w:p>
        </w:tc>
        <w:tc>
          <w:tcPr>
            <w:tcW w:w="814" w:type="dxa"/>
            <w:noWrap/>
            <w:hideMark/>
          </w:tcPr>
          <w:p w14:paraId="44CF8173" w14:textId="77777777" w:rsidR="006E4472" w:rsidRPr="008C49A5" w:rsidRDefault="006E4472" w:rsidP="008C49A5">
            <w:pPr>
              <w:jc w:val="both"/>
              <w:rPr>
                <w:rFonts w:cstheme="minorHAnsi"/>
              </w:rPr>
            </w:pPr>
            <w:r w:rsidRPr="008C49A5">
              <w:rPr>
                <w:rFonts w:cstheme="minorHAnsi"/>
              </w:rPr>
              <w:t>Gross Margin (%)</w:t>
            </w:r>
          </w:p>
        </w:tc>
        <w:tc>
          <w:tcPr>
            <w:tcW w:w="741" w:type="dxa"/>
            <w:noWrap/>
            <w:hideMark/>
          </w:tcPr>
          <w:p w14:paraId="67A60040" w14:textId="77777777" w:rsidR="006E4472" w:rsidRPr="008C49A5" w:rsidRDefault="006E4472" w:rsidP="008C49A5">
            <w:pPr>
              <w:jc w:val="both"/>
              <w:rPr>
                <w:rFonts w:cstheme="minorHAnsi"/>
              </w:rPr>
            </w:pPr>
            <w:r w:rsidRPr="008C49A5">
              <w:rPr>
                <w:rFonts w:cstheme="minorHAnsi"/>
              </w:rPr>
              <w:t>Gross Profit (GP) ($M)</w:t>
            </w:r>
          </w:p>
        </w:tc>
        <w:tc>
          <w:tcPr>
            <w:tcW w:w="879" w:type="dxa"/>
            <w:noWrap/>
            <w:hideMark/>
          </w:tcPr>
          <w:p w14:paraId="66649188" w14:textId="77777777" w:rsidR="006E4472" w:rsidRPr="008C49A5" w:rsidRDefault="006E4472" w:rsidP="008C49A5">
            <w:pPr>
              <w:jc w:val="both"/>
              <w:rPr>
                <w:rFonts w:cstheme="minorHAnsi"/>
              </w:rPr>
            </w:pPr>
            <w:r w:rsidRPr="008C49A5">
              <w:rPr>
                <w:rFonts w:cstheme="minorHAnsi"/>
              </w:rPr>
              <w:t>Previous GP ($M)</w:t>
            </w:r>
          </w:p>
        </w:tc>
        <w:tc>
          <w:tcPr>
            <w:tcW w:w="900" w:type="dxa"/>
            <w:hideMark/>
          </w:tcPr>
          <w:p w14:paraId="3B2FF908" w14:textId="77777777" w:rsidR="006E4472" w:rsidRPr="008C49A5" w:rsidRDefault="006E4472" w:rsidP="008C49A5">
            <w:pPr>
              <w:jc w:val="both"/>
              <w:rPr>
                <w:rFonts w:cstheme="minorHAnsi"/>
              </w:rPr>
            </w:pPr>
            <w:r w:rsidRPr="008C49A5">
              <w:rPr>
                <w:rFonts w:cstheme="minorHAnsi"/>
              </w:rPr>
              <w:t>Gross Profit Growth (GPG) (%)</w:t>
            </w:r>
          </w:p>
        </w:tc>
      </w:tr>
      <w:tr w:rsidR="006E4472" w:rsidRPr="008C49A5" w14:paraId="02641E9D" w14:textId="77777777" w:rsidTr="006E4472">
        <w:trPr>
          <w:trHeight w:val="290"/>
        </w:trPr>
        <w:tc>
          <w:tcPr>
            <w:tcW w:w="1434" w:type="dxa"/>
            <w:noWrap/>
            <w:hideMark/>
          </w:tcPr>
          <w:p w14:paraId="2C8610D9" w14:textId="77777777" w:rsidR="006E4472" w:rsidRPr="008C49A5" w:rsidRDefault="006E4472" w:rsidP="008C49A5">
            <w:pPr>
              <w:jc w:val="both"/>
              <w:rPr>
                <w:rFonts w:cstheme="minorHAnsi"/>
              </w:rPr>
            </w:pPr>
            <w:r w:rsidRPr="008C49A5">
              <w:rPr>
                <w:rFonts w:cstheme="minorHAnsi"/>
              </w:rPr>
              <w:t>Fox Corporation</w:t>
            </w:r>
          </w:p>
        </w:tc>
        <w:tc>
          <w:tcPr>
            <w:tcW w:w="1435" w:type="dxa"/>
            <w:noWrap/>
            <w:hideMark/>
          </w:tcPr>
          <w:p w14:paraId="2E412A40" w14:textId="70C7B6F3" w:rsidR="006E4472" w:rsidRPr="008C49A5" w:rsidRDefault="006E4472" w:rsidP="008C49A5">
            <w:pPr>
              <w:jc w:val="both"/>
              <w:rPr>
                <w:rFonts w:cstheme="minorHAnsi"/>
              </w:rPr>
            </w:pPr>
            <w:r w:rsidRPr="008C49A5">
              <w:rPr>
                <w:rFonts w:cstheme="minorHAnsi"/>
              </w:rPr>
              <w:t>COMMUNICATION SERVICES</w:t>
            </w:r>
          </w:p>
        </w:tc>
        <w:tc>
          <w:tcPr>
            <w:tcW w:w="1106" w:type="dxa"/>
            <w:noWrap/>
            <w:hideMark/>
          </w:tcPr>
          <w:p w14:paraId="14FEB5CA" w14:textId="77777777" w:rsidR="006E4472" w:rsidRPr="008C49A5" w:rsidRDefault="006E4472" w:rsidP="008C49A5">
            <w:pPr>
              <w:jc w:val="both"/>
              <w:rPr>
                <w:rFonts w:cstheme="minorHAnsi"/>
              </w:rPr>
            </w:pPr>
            <w:r w:rsidRPr="008C49A5">
              <w:rPr>
                <w:rFonts w:cstheme="minorHAnsi"/>
              </w:rPr>
              <w:t>17.22B</w:t>
            </w:r>
          </w:p>
        </w:tc>
        <w:tc>
          <w:tcPr>
            <w:tcW w:w="711" w:type="dxa"/>
            <w:noWrap/>
            <w:hideMark/>
          </w:tcPr>
          <w:p w14:paraId="0A90C660" w14:textId="77777777" w:rsidR="006E4472" w:rsidRPr="008C49A5" w:rsidRDefault="006E4472" w:rsidP="008C49A5">
            <w:pPr>
              <w:jc w:val="both"/>
              <w:rPr>
                <w:rFonts w:cstheme="minorHAnsi"/>
              </w:rPr>
            </w:pPr>
            <w:r w:rsidRPr="008C49A5">
              <w:rPr>
                <w:rFonts w:cstheme="minorHAnsi"/>
              </w:rPr>
              <w:t>11.55</w:t>
            </w:r>
          </w:p>
        </w:tc>
        <w:tc>
          <w:tcPr>
            <w:tcW w:w="732" w:type="dxa"/>
            <w:noWrap/>
            <w:hideMark/>
          </w:tcPr>
          <w:p w14:paraId="6F1708FE" w14:textId="77777777" w:rsidR="006E4472" w:rsidRPr="008C49A5" w:rsidRDefault="006E4472" w:rsidP="008C49A5">
            <w:pPr>
              <w:jc w:val="both"/>
              <w:rPr>
                <w:rFonts w:cstheme="minorHAnsi"/>
              </w:rPr>
            </w:pPr>
            <w:r w:rsidRPr="008C49A5">
              <w:rPr>
                <w:rFonts w:cstheme="minorHAnsi"/>
              </w:rPr>
              <w:t>1.07</w:t>
            </w:r>
          </w:p>
        </w:tc>
        <w:tc>
          <w:tcPr>
            <w:tcW w:w="873" w:type="dxa"/>
            <w:noWrap/>
            <w:hideMark/>
          </w:tcPr>
          <w:p w14:paraId="61C0FA59" w14:textId="77777777" w:rsidR="006E4472" w:rsidRPr="008C49A5" w:rsidRDefault="006E4472" w:rsidP="008C49A5">
            <w:pPr>
              <w:jc w:val="both"/>
              <w:rPr>
                <w:rFonts w:cstheme="minorHAnsi"/>
              </w:rPr>
            </w:pPr>
            <w:r w:rsidRPr="008C49A5">
              <w:rPr>
                <w:rFonts w:cstheme="minorHAnsi"/>
              </w:rPr>
              <w:t>13,920.00</w:t>
            </w:r>
          </w:p>
        </w:tc>
        <w:tc>
          <w:tcPr>
            <w:tcW w:w="814" w:type="dxa"/>
            <w:noWrap/>
            <w:hideMark/>
          </w:tcPr>
          <w:p w14:paraId="43510EC2" w14:textId="77777777" w:rsidR="006E4472" w:rsidRPr="008C49A5" w:rsidRDefault="006E4472" w:rsidP="008C49A5">
            <w:pPr>
              <w:jc w:val="both"/>
              <w:rPr>
                <w:rFonts w:cstheme="minorHAnsi"/>
              </w:rPr>
            </w:pPr>
            <w:r w:rsidRPr="008C49A5">
              <w:rPr>
                <w:rFonts w:cstheme="minorHAnsi"/>
              </w:rPr>
              <w:t>31.92</w:t>
            </w:r>
          </w:p>
        </w:tc>
        <w:tc>
          <w:tcPr>
            <w:tcW w:w="741" w:type="dxa"/>
            <w:noWrap/>
            <w:hideMark/>
          </w:tcPr>
          <w:p w14:paraId="17B00DEF" w14:textId="77777777" w:rsidR="006E4472" w:rsidRPr="008C49A5" w:rsidRDefault="006E4472" w:rsidP="008C49A5">
            <w:pPr>
              <w:jc w:val="both"/>
              <w:rPr>
                <w:rFonts w:cstheme="minorHAnsi"/>
              </w:rPr>
            </w:pPr>
            <w:r w:rsidRPr="008C49A5">
              <w:rPr>
                <w:rFonts w:cstheme="minorHAnsi"/>
              </w:rPr>
              <w:t>4,443.00</w:t>
            </w:r>
          </w:p>
        </w:tc>
        <w:tc>
          <w:tcPr>
            <w:tcW w:w="879" w:type="dxa"/>
            <w:noWrap/>
            <w:hideMark/>
          </w:tcPr>
          <w:p w14:paraId="58133B0D" w14:textId="77777777" w:rsidR="006E4472" w:rsidRPr="008C49A5" w:rsidRDefault="006E4472" w:rsidP="008C49A5">
            <w:pPr>
              <w:jc w:val="both"/>
              <w:rPr>
                <w:rFonts w:cstheme="minorHAnsi"/>
              </w:rPr>
            </w:pPr>
            <w:r w:rsidRPr="008C49A5">
              <w:rPr>
                <w:rFonts w:cstheme="minorHAnsi"/>
              </w:rPr>
              <w:t>4,813.00</w:t>
            </w:r>
          </w:p>
        </w:tc>
        <w:tc>
          <w:tcPr>
            <w:tcW w:w="900" w:type="dxa"/>
            <w:noWrap/>
            <w:hideMark/>
          </w:tcPr>
          <w:p w14:paraId="74CD4885" w14:textId="77777777" w:rsidR="006E4472" w:rsidRPr="008C49A5" w:rsidRDefault="006E4472" w:rsidP="008C49A5">
            <w:pPr>
              <w:jc w:val="both"/>
              <w:rPr>
                <w:rFonts w:cstheme="minorHAnsi"/>
              </w:rPr>
            </w:pPr>
            <w:r w:rsidRPr="008C49A5">
              <w:rPr>
                <w:rFonts w:cstheme="minorHAnsi"/>
              </w:rPr>
              <w:t>-7.69</w:t>
            </w:r>
          </w:p>
        </w:tc>
      </w:tr>
      <w:tr w:rsidR="006E4472" w:rsidRPr="008C49A5" w14:paraId="3D64B626" w14:textId="77777777" w:rsidTr="006E4472">
        <w:trPr>
          <w:trHeight w:val="320"/>
        </w:trPr>
        <w:tc>
          <w:tcPr>
            <w:tcW w:w="1434" w:type="dxa"/>
            <w:noWrap/>
            <w:hideMark/>
          </w:tcPr>
          <w:p w14:paraId="55F73018" w14:textId="77777777" w:rsidR="006E4472" w:rsidRPr="008C49A5" w:rsidRDefault="006E4472" w:rsidP="008C49A5">
            <w:pPr>
              <w:jc w:val="both"/>
              <w:rPr>
                <w:rFonts w:cstheme="minorHAnsi"/>
              </w:rPr>
            </w:pPr>
            <w:r w:rsidRPr="008C49A5">
              <w:rPr>
                <w:rFonts w:cstheme="minorHAnsi"/>
              </w:rPr>
              <w:t>Liberty Media Corp (sector peer)</w:t>
            </w:r>
          </w:p>
        </w:tc>
        <w:tc>
          <w:tcPr>
            <w:tcW w:w="1435" w:type="dxa"/>
            <w:noWrap/>
            <w:hideMark/>
          </w:tcPr>
          <w:p w14:paraId="06FCF85E" w14:textId="15EFD6FE" w:rsidR="006E4472" w:rsidRPr="008C49A5" w:rsidRDefault="006E4472" w:rsidP="008C49A5">
            <w:pPr>
              <w:jc w:val="both"/>
              <w:rPr>
                <w:rFonts w:cstheme="minorHAnsi"/>
              </w:rPr>
            </w:pPr>
            <w:r w:rsidRPr="008C49A5">
              <w:rPr>
                <w:rFonts w:cstheme="minorHAnsi"/>
              </w:rPr>
              <w:t>COMMUNICATION SERVICES</w:t>
            </w:r>
          </w:p>
        </w:tc>
        <w:tc>
          <w:tcPr>
            <w:tcW w:w="1106" w:type="dxa"/>
            <w:noWrap/>
            <w:hideMark/>
          </w:tcPr>
          <w:p w14:paraId="31D0EAFE" w14:textId="77777777" w:rsidR="006E4472" w:rsidRPr="008C49A5" w:rsidRDefault="006E4472" w:rsidP="008C49A5">
            <w:pPr>
              <w:jc w:val="both"/>
              <w:rPr>
                <w:rFonts w:cstheme="minorHAnsi"/>
              </w:rPr>
            </w:pPr>
            <w:r w:rsidRPr="008C49A5">
              <w:rPr>
                <w:rFonts w:cstheme="minorHAnsi"/>
              </w:rPr>
              <w:t>7,21B</w:t>
            </w:r>
          </w:p>
        </w:tc>
        <w:tc>
          <w:tcPr>
            <w:tcW w:w="711" w:type="dxa"/>
            <w:noWrap/>
            <w:hideMark/>
          </w:tcPr>
          <w:p w14:paraId="36D3D8A2" w14:textId="77777777" w:rsidR="006E4472" w:rsidRPr="008C49A5" w:rsidRDefault="006E4472" w:rsidP="008C49A5">
            <w:pPr>
              <w:jc w:val="both"/>
              <w:rPr>
                <w:rFonts w:cstheme="minorHAnsi"/>
              </w:rPr>
            </w:pPr>
            <w:r w:rsidRPr="008C49A5">
              <w:rPr>
                <w:rFonts w:cstheme="minorHAnsi"/>
              </w:rPr>
              <w:t>9.12</w:t>
            </w:r>
          </w:p>
        </w:tc>
        <w:tc>
          <w:tcPr>
            <w:tcW w:w="732" w:type="dxa"/>
            <w:noWrap/>
            <w:hideMark/>
          </w:tcPr>
          <w:p w14:paraId="782A87D4" w14:textId="77777777" w:rsidR="006E4472" w:rsidRPr="008C49A5" w:rsidRDefault="006E4472" w:rsidP="008C49A5">
            <w:pPr>
              <w:jc w:val="both"/>
              <w:rPr>
                <w:rFonts w:cstheme="minorHAnsi"/>
              </w:rPr>
            </w:pPr>
            <w:r w:rsidRPr="008C49A5">
              <w:rPr>
                <w:rFonts w:cstheme="minorHAnsi"/>
              </w:rPr>
              <w:t>0.80</w:t>
            </w:r>
          </w:p>
        </w:tc>
        <w:tc>
          <w:tcPr>
            <w:tcW w:w="873" w:type="dxa"/>
            <w:noWrap/>
            <w:hideMark/>
          </w:tcPr>
          <w:p w14:paraId="12A9CD13" w14:textId="77777777" w:rsidR="006E4472" w:rsidRPr="008C49A5" w:rsidRDefault="006E4472" w:rsidP="008C49A5">
            <w:pPr>
              <w:jc w:val="both"/>
              <w:rPr>
                <w:rFonts w:cstheme="minorHAnsi"/>
              </w:rPr>
            </w:pPr>
            <w:r w:rsidRPr="008C49A5">
              <w:rPr>
                <w:rFonts w:cstheme="minorHAnsi"/>
              </w:rPr>
              <w:t>89,711.00</w:t>
            </w:r>
          </w:p>
        </w:tc>
        <w:tc>
          <w:tcPr>
            <w:tcW w:w="814" w:type="dxa"/>
            <w:noWrap/>
            <w:hideMark/>
          </w:tcPr>
          <w:p w14:paraId="172D0B86" w14:textId="77777777" w:rsidR="006E4472" w:rsidRPr="008C49A5" w:rsidRDefault="006E4472" w:rsidP="008C49A5">
            <w:pPr>
              <w:jc w:val="both"/>
              <w:rPr>
                <w:rFonts w:cstheme="minorHAnsi"/>
              </w:rPr>
            </w:pPr>
            <w:r w:rsidRPr="008C49A5">
              <w:rPr>
                <w:rFonts w:cstheme="minorHAnsi"/>
              </w:rPr>
              <w:t>43.08</w:t>
            </w:r>
          </w:p>
        </w:tc>
        <w:tc>
          <w:tcPr>
            <w:tcW w:w="741" w:type="dxa"/>
            <w:noWrap/>
            <w:hideMark/>
          </w:tcPr>
          <w:p w14:paraId="361FE14E" w14:textId="77777777" w:rsidR="006E4472" w:rsidRPr="008C49A5" w:rsidRDefault="006E4472" w:rsidP="008C49A5">
            <w:pPr>
              <w:jc w:val="both"/>
              <w:rPr>
                <w:rFonts w:cstheme="minorHAnsi"/>
              </w:rPr>
            </w:pPr>
            <w:r w:rsidRPr="008C49A5">
              <w:rPr>
                <w:rFonts w:cstheme="minorHAnsi"/>
              </w:rPr>
              <w:t>3,865.00</w:t>
            </w:r>
          </w:p>
        </w:tc>
        <w:tc>
          <w:tcPr>
            <w:tcW w:w="879" w:type="dxa"/>
            <w:noWrap/>
            <w:hideMark/>
          </w:tcPr>
          <w:p w14:paraId="00134E13" w14:textId="77777777" w:rsidR="006E4472" w:rsidRPr="008C49A5" w:rsidRDefault="006E4472" w:rsidP="008C49A5">
            <w:pPr>
              <w:jc w:val="both"/>
              <w:rPr>
                <w:rFonts w:cstheme="minorHAnsi"/>
              </w:rPr>
            </w:pPr>
            <w:r w:rsidRPr="008C49A5">
              <w:rPr>
                <w:rFonts w:cstheme="minorHAnsi"/>
              </w:rPr>
              <w:t>3,761.00</w:t>
            </w:r>
          </w:p>
        </w:tc>
        <w:tc>
          <w:tcPr>
            <w:tcW w:w="900" w:type="dxa"/>
            <w:noWrap/>
            <w:hideMark/>
          </w:tcPr>
          <w:p w14:paraId="7FA6CF1E" w14:textId="77777777" w:rsidR="006E4472" w:rsidRPr="008C49A5" w:rsidRDefault="006E4472" w:rsidP="008C49A5">
            <w:pPr>
              <w:jc w:val="both"/>
              <w:rPr>
                <w:rFonts w:cstheme="minorHAnsi"/>
              </w:rPr>
            </w:pPr>
            <w:r w:rsidRPr="008C49A5">
              <w:rPr>
                <w:rFonts w:cstheme="minorHAnsi"/>
              </w:rPr>
              <w:t>2.77</w:t>
            </w:r>
          </w:p>
        </w:tc>
      </w:tr>
      <w:tr w:rsidR="006E4472" w:rsidRPr="008C49A5" w14:paraId="4D36E075" w14:textId="77777777" w:rsidTr="006E4472">
        <w:trPr>
          <w:trHeight w:val="290"/>
        </w:trPr>
        <w:tc>
          <w:tcPr>
            <w:tcW w:w="1434" w:type="dxa"/>
            <w:noWrap/>
            <w:hideMark/>
          </w:tcPr>
          <w:p w14:paraId="5BACA7D8" w14:textId="77777777" w:rsidR="006E4472" w:rsidRPr="008C49A5" w:rsidRDefault="006E4472" w:rsidP="008C49A5">
            <w:pPr>
              <w:jc w:val="both"/>
              <w:rPr>
                <w:rFonts w:cstheme="minorHAnsi"/>
              </w:rPr>
            </w:pPr>
            <w:r w:rsidRPr="008C49A5">
              <w:rPr>
                <w:rFonts w:cstheme="minorHAnsi"/>
              </w:rPr>
              <w:t>TEGNA Inc (sector peer)</w:t>
            </w:r>
          </w:p>
        </w:tc>
        <w:tc>
          <w:tcPr>
            <w:tcW w:w="1435" w:type="dxa"/>
            <w:noWrap/>
            <w:hideMark/>
          </w:tcPr>
          <w:p w14:paraId="09AFF3B9" w14:textId="78F09EE5" w:rsidR="006E4472" w:rsidRPr="008C49A5" w:rsidRDefault="006E4472" w:rsidP="008C49A5">
            <w:pPr>
              <w:jc w:val="both"/>
              <w:rPr>
                <w:rFonts w:cstheme="minorHAnsi"/>
              </w:rPr>
            </w:pPr>
            <w:r w:rsidRPr="008C49A5">
              <w:rPr>
                <w:rFonts w:cstheme="minorHAnsi"/>
              </w:rPr>
              <w:t>COMMUNICATION SERVICES</w:t>
            </w:r>
          </w:p>
        </w:tc>
        <w:tc>
          <w:tcPr>
            <w:tcW w:w="1106" w:type="dxa"/>
            <w:noWrap/>
            <w:hideMark/>
          </w:tcPr>
          <w:p w14:paraId="3E25A30D" w14:textId="77777777" w:rsidR="006E4472" w:rsidRPr="008C49A5" w:rsidRDefault="006E4472" w:rsidP="008C49A5">
            <w:pPr>
              <w:jc w:val="both"/>
              <w:rPr>
                <w:rFonts w:cstheme="minorHAnsi"/>
              </w:rPr>
            </w:pPr>
            <w:r w:rsidRPr="008C49A5">
              <w:rPr>
                <w:rFonts w:cstheme="minorHAnsi"/>
              </w:rPr>
              <w:t>2.63B</w:t>
            </w:r>
          </w:p>
        </w:tc>
        <w:tc>
          <w:tcPr>
            <w:tcW w:w="711" w:type="dxa"/>
            <w:noWrap/>
            <w:hideMark/>
          </w:tcPr>
          <w:p w14:paraId="44ECEEF5" w14:textId="77777777" w:rsidR="006E4472" w:rsidRPr="008C49A5" w:rsidRDefault="006E4472" w:rsidP="008C49A5">
            <w:pPr>
              <w:jc w:val="both"/>
              <w:rPr>
                <w:rFonts w:cstheme="minorHAnsi"/>
              </w:rPr>
            </w:pPr>
            <w:r w:rsidRPr="008C49A5">
              <w:rPr>
                <w:rFonts w:cstheme="minorHAnsi"/>
              </w:rPr>
              <w:t>5.42</w:t>
            </w:r>
          </w:p>
        </w:tc>
        <w:tc>
          <w:tcPr>
            <w:tcW w:w="732" w:type="dxa"/>
            <w:noWrap/>
            <w:hideMark/>
          </w:tcPr>
          <w:p w14:paraId="5098008C" w14:textId="77777777" w:rsidR="006E4472" w:rsidRPr="008C49A5" w:rsidRDefault="006E4472" w:rsidP="008C49A5">
            <w:pPr>
              <w:jc w:val="both"/>
              <w:rPr>
                <w:rFonts w:cstheme="minorHAnsi"/>
              </w:rPr>
            </w:pPr>
            <w:r w:rsidRPr="008C49A5">
              <w:rPr>
                <w:rFonts w:cstheme="minorHAnsi"/>
              </w:rPr>
              <w:t>0.91</w:t>
            </w:r>
          </w:p>
        </w:tc>
        <w:tc>
          <w:tcPr>
            <w:tcW w:w="873" w:type="dxa"/>
            <w:noWrap/>
            <w:hideMark/>
          </w:tcPr>
          <w:p w14:paraId="7259E900" w14:textId="77777777" w:rsidR="006E4472" w:rsidRPr="008C49A5" w:rsidRDefault="006E4472" w:rsidP="008C49A5">
            <w:pPr>
              <w:jc w:val="both"/>
              <w:rPr>
                <w:rFonts w:cstheme="minorHAnsi"/>
              </w:rPr>
            </w:pPr>
            <w:r w:rsidRPr="008C49A5">
              <w:rPr>
                <w:rFonts w:cstheme="minorHAnsi"/>
              </w:rPr>
              <w:t>2,884.46</w:t>
            </w:r>
          </w:p>
        </w:tc>
        <w:tc>
          <w:tcPr>
            <w:tcW w:w="814" w:type="dxa"/>
            <w:noWrap/>
            <w:hideMark/>
          </w:tcPr>
          <w:p w14:paraId="7E4CA5A6" w14:textId="77777777" w:rsidR="006E4472" w:rsidRPr="008C49A5" w:rsidRDefault="006E4472" w:rsidP="008C49A5">
            <w:pPr>
              <w:jc w:val="both"/>
              <w:rPr>
                <w:rFonts w:cstheme="minorHAnsi"/>
              </w:rPr>
            </w:pPr>
            <w:r w:rsidRPr="008C49A5">
              <w:rPr>
                <w:rFonts w:cstheme="minorHAnsi"/>
              </w:rPr>
              <w:t>36.42</w:t>
            </w:r>
          </w:p>
        </w:tc>
        <w:tc>
          <w:tcPr>
            <w:tcW w:w="741" w:type="dxa"/>
            <w:noWrap/>
            <w:hideMark/>
          </w:tcPr>
          <w:p w14:paraId="5D7BCCDC" w14:textId="77777777" w:rsidR="006E4472" w:rsidRPr="008C49A5" w:rsidRDefault="006E4472" w:rsidP="008C49A5">
            <w:pPr>
              <w:jc w:val="both"/>
              <w:rPr>
                <w:rFonts w:cstheme="minorHAnsi"/>
              </w:rPr>
            </w:pPr>
            <w:r w:rsidRPr="008C49A5">
              <w:rPr>
                <w:rFonts w:cstheme="minorHAnsi"/>
              </w:rPr>
              <w:t>1,050.74</w:t>
            </w:r>
          </w:p>
        </w:tc>
        <w:tc>
          <w:tcPr>
            <w:tcW w:w="879" w:type="dxa"/>
            <w:noWrap/>
            <w:hideMark/>
          </w:tcPr>
          <w:p w14:paraId="716F01FD" w14:textId="77777777" w:rsidR="006E4472" w:rsidRPr="008C49A5" w:rsidRDefault="006E4472" w:rsidP="008C49A5">
            <w:pPr>
              <w:jc w:val="both"/>
              <w:rPr>
                <w:rFonts w:cstheme="minorHAnsi"/>
              </w:rPr>
            </w:pPr>
            <w:r w:rsidRPr="008C49A5">
              <w:rPr>
                <w:rFonts w:cstheme="minorHAnsi"/>
              </w:rPr>
              <w:t>1,078.84</w:t>
            </w:r>
          </w:p>
        </w:tc>
        <w:tc>
          <w:tcPr>
            <w:tcW w:w="900" w:type="dxa"/>
            <w:noWrap/>
            <w:hideMark/>
          </w:tcPr>
          <w:p w14:paraId="4AAC4098" w14:textId="77777777" w:rsidR="006E4472" w:rsidRPr="008C49A5" w:rsidRDefault="006E4472" w:rsidP="008C49A5">
            <w:pPr>
              <w:jc w:val="both"/>
              <w:rPr>
                <w:rFonts w:cstheme="minorHAnsi"/>
              </w:rPr>
            </w:pPr>
            <w:r w:rsidRPr="008C49A5">
              <w:rPr>
                <w:rFonts w:cstheme="minorHAnsi"/>
              </w:rPr>
              <w:t>-2.60</w:t>
            </w:r>
          </w:p>
        </w:tc>
      </w:tr>
      <w:tr w:rsidR="006E4472" w:rsidRPr="008C49A5" w14:paraId="5C8DFCFB" w14:textId="77777777" w:rsidTr="006E4472">
        <w:trPr>
          <w:trHeight w:val="290"/>
        </w:trPr>
        <w:tc>
          <w:tcPr>
            <w:tcW w:w="1434" w:type="dxa"/>
            <w:noWrap/>
            <w:hideMark/>
          </w:tcPr>
          <w:p w14:paraId="4D4DCF28" w14:textId="77777777" w:rsidR="006E4472" w:rsidRPr="008C49A5" w:rsidRDefault="006E4472" w:rsidP="008C49A5">
            <w:pPr>
              <w:jc w:val="both"/>
              <w:rPr>
                <w:rFonts w:cstheme="minorHAnsi"/>
              </w:rPr>
            </w:pPr>
            <w:r w:rsidRPr="008C49A5">
              <w:rPr>
                <w:rFonts w:cstheme="minorHAnsi"/>
              </w:rPr>
              <w:t>Telefonica Brasil S.A., ADR (sector peer)</w:t>
            </w:r>
          </w:p>
        </w:tc>
        <w:tc>
          <w:tcPr>
            <w:tcW w:w="1435" w:type="dxa"/>
            <w:noWrap/>
            <w:hideMark/>
          </w:tcPr>
          <w:p w14:paraId="3D110587" w14:textId="7B1B63EC" w:rsidR="006E4472" w:rsidRPr="008C49A5" w:rsidRDefault="006E4472" w:rsidP="008C49A5">
            <w:pPr>
              <w:jc w:val="both"/>
              <w:rPr>
                <w:rFonts w:cstheme="minorHAnsi"/>
              </w:rPr>
            </w:pPr>
            <w:r w:rsidRPr="008C49A5">
              <w:rPr>
                <w:rFonts w:cstheme="minorHAnsi"/>
              </w:rPr>
              <w:t>COMMUNICATION SERVICES</w:t>
            </w:r>
          </w:p>
        </w:tc>
        <w:tc>
          <w:tcPr>
            <w:tcW w:w="1106" w:type="dxa"/>
            <w:noWrap/>
            <w:hideMark/>
          </w:tcPr>
          <w:p w14:paraId="510DD745" w14:textId="77777777" w:rsidR="006E4472" w:rsidRPr="008C49A5" w:rsidRDefault="006E4472" w:rsidP="008C49A5">
            <w:pPr>
              <w:jc w:val="both"/>
              <w:rPr>
                <w:rFonts w:cstheme="minorHAnsi"/>
              </w:rPr>
            </w:pPr>
            <w:r w:rsidRPr="008C49A5">
              <w:rPr>
                <w:rFonts w:cstheme="minorHAnsi"/>
              </w:rPr>
              <w:t>14.39B</w:t>
            </w:r>
          </w:p>
        </w:tc>
        <w:tc>
          <w:tcPr>
            <w:tcW w:w="711" w:type="dxa"/>
            <w:noWrap/>
            <w:hideMark/>
          </w:tcPr>
          <w:p w14:paraId="1B0859FF" w14:textId="77777777" w:rsidR="006E4472" w:rsidRPr="008C49A5" w:rsidRDefault="006E4472" w:rsidP="008C49A5">
            <w:pPr>
              <w:jc w:val="both"/>
              <w:rPr>
                <w:rFonts w:cstheme="minorHAnsi"/>
              </w:rPr>
            </w:pPr>
            <w:r w:rsidRPr="008C49A5">
              <w:rPr>
                <w:rFonts w:cstheme="minorHAnsi"/>
              </w:rPr>
              <w:t>13.98</w:t>
            </w:r>
          </w:p>
        </w:tc>
        <w:tc>
          <w:tcPr>
            <w:tcW w:w="732" w:type="dxa"/>
            <w:noWrap/>
            <w:hideMark/>
          </w:tcPr>
          <w:p w14:paraId="2A713CA4" w14:textId="77777777" w:rsidR="006E4472" w:rsidRPr="008C49A5" w:rsidRDefault="006E4472" w:rsidP="008C49A5">
            <w:pPr>
              <w:jc w:val="both"/>
              <w:rPr>
                <w:rFonts w:cstheme="minorHAnsi"/>
              </w:rPr>
            </w:pPr>
            <w:r w:rsidRPr="008C49A5">
              <w:rPr>
                <w:rFonts w:cstheme="minorHAnsi"/>
              </w:rPr>
              <w:t>1.55</w:t>
            </w:r>
          </w:p>
        </w:tc>
        <w:tc>
          <w:tcPr>
            <w:tcW w:w="873" w:type="dxa"/>
            <w:noWrap/>
            <w:hideMark/>
          </w:tcPr>
          <w:p w14:paraId="55303179" w14:textId="77777777" w:rsidR="006E4472" w:rsidRPr="008C49A5" w:rsidRDefault="006E4472" w:rsidP="008C49A5">
            <w:pPr>
              <w:jc w:val="both"/>
              <w:rPr>
                <w:rFonts w:cstheme="minorHAnsi"/>
              </w:rPr>
            </w:pPr>
            <w:r w:rsidRPr="008C49A5">
              <w:rPr>
                <w:rFonts w:cstheme="minorHAnsi"/>
              </w:rPr>
              <w:t>10,724.01</w:t>
            </w:r>
          </w:p>
        </w:tc>
        <w:tc>
          <w:tcPr>
            <w:tcW w:w="814" w:type="dxa"/>
            <w:noWrap/>
            <w:hideMark/>
          </w:tcPr>
          <w:p w14:paraId="34E6DD41" w14:textId="77777777" w:rsidR="006E4472" w:rsidRPr="008C49A5" w:rsidRDefault="006E4472" w:rsidP="008C49A5">
            <w:pPr>
              <w:jc w:val="both"/>
              <w:rPr>
                <w:rFonts w:cstheme="minorHAnsi"/>
              </w:rPr>
            </w:pPr>
            <w:r w:rsidRPr="008C49A5">
              <w:rPr>
                <w:rFonts w:cstheme="minorHAnsi"/>
              </w:rPr>
              <w:t>39.32</w:t>
            </w:r>
          </w:p>
        </w:tc>
        <w:tc>
          <w:tcPr>
            <w:tcW w:w="741" w:type="dxa"/>
            <w:noWrap/>
            <w:hideMark/>
          </w:tcPr>
          <w:p w14:paraId="17C2C87A" w14:textId="77777777" w:rsidR="006E4472" w:rsidRPr="008C49A5" w:rsidRDefault="006E4472" w:rsidP="008C49A5">
            <w:pPr>
              <w:jc w:val="both"/>
              <w:rPr>
                <w:rFonts w:cstheme="minorHAnsi"/>
              </w:rPr>
            </w:pPr>
            <w:r w:rsidRPr="008C49A5">
              <w:rPr>
                <w:rFonts w:cstheme="minorHAnsi"/>
              </w:rPr>
              <w:t>4,216.20</w:t>
            </w:r>
          </w:p>
        </w:tc>
        <w:tc>
          <w:tcPr>
            <w:tcW w:w="879" w:type="dxa"/>
            <w:noWrap/>
            <w:hideMark/>
          </w:tcPr>
          <w:p w14:paraId="2691BD33" w14:textId="77777777" w:rsidR="006E4472" w:rsidRPr="008C49A5" w:rsidRDefault="006E4472" w:rsidP="008C49A5">
            <w:pPr>
              <w:jc w:val="both"/>
              <w:rPr>
                <w:rFonts w:cstheme="minorHAnsi"/>
              </w:rPr>
            </w:pPr>
            <w:r w:rsidRPr="008C49A5">
              <w:rPr>
                <w:rFonts w:cstheme="minorHAnsi"/>
              </w:rPr>
              <w:t>4,062.72</w:t>
            </w:r>
          </w:p>
        </w:tc>
        <w:tc>
          <w:tcPr>
            <w:tcW w:w="900" w:type="dxa"/>
            <w:noWrap/>
            <w:hideMark/>
          </w:tcPr>
          <w:p w14:paraId="40140EF1" w14:textId="77777777" w:rsidR="006E4472" w:rsidRPr="008C49A5" w:rsidRDefault="006E4472" w:rsidP="008C49A5">
            <w:pPr>
              <w:jc w:val="both"/>
              <w:rPr>
                <w:rFonts w:cstheme="minorHAnsi"/>
              </w:rPr>
            </w:pPr>
            <w:r w:rsidRPr="008C49A5">
              <w:rPr>
                <w:rFonts w:cstheme="minorHAnsi"/>
              </w:rPr>
              <w:t>3.78</w:t>
            </w:r>
          </w:p>
        </w:tc>
      </w:tr>
      <w:tr w:rsidR="006E4472" w:rsidRPr="008C49A5" w14:paraId="11DB027D" w14:textId="77777777" w:rsidTr="006E4472">
        <w:trPr>
          <w:trHeight w:val="290"/>
        </w:trPr>
        <w:tc>
          <w:tcPr>
            <w:tcW w:w="1434" w:type="dxa"/>
            <w:noWrap/>
            <w:hideMark/>
          </w:tcPr>
          <w:p w14:paraId="4E2F0352" w14:textId="77777777" w:rsidR="006E4472" w:rsidRPr="008C49A5" w:rsidRDefault="006E4472" w:rsidP="008C49A5">
            <w:pPr>
              <w:jc w:val="both"/>
              <w:rPr>
                <w:rFonts w:cstheme="minorHAnsi"/>
              </w:rPr>
            </w:pPr>
            <w:r w:rsidRPr="008C49A5">
              <w:rPr>
                <w:rFonts w:cstheme="minorHAnsi"/>
              </w:rPr>
              <w:t>SECTOR AVERAGE</w:t>
            </w:r>
          </w:p>
        </w:tc>
        <w:tc>
          <w:tcPr>
            <w:tcW w:w="1435" w:type="dxa"/>
            <w:noWrap/>
            <w:hideMark/>
          </w:tcPr>
          <w:p w14:paraId="7C9F4E55" w14:textId="77777777" w:rsidR="006E4472" w:rsidRPr="008C49A5" w:rsidRDefault="006E4472" w:rsidP="008C49A5">
            <w:pPr>
              <w:jc w:val="both"/>
              <w:rPr>
                <w:rFonts w:cstheme="minorHAnsi"/>
              </w:rPr>
            </w:pPr>
          </w:p>
        </w:tc>
        <w:tc>
          <w:tcPr>
            <w:tcW w:w="1106" w:type="dxa"/>
            <w:noWrap/>
            <w:hideMark/>
          </w:tcPr>
          <w:p w14:paraId="068D0227" w14:textId="77777777" w:rsidR="006E4472" w:rsidRPr="008C49A5" w:rsidRDefault="006E4472" w:rsidP="008C49A5">
            <w:pPr>
              <w:jc w:val="both"/>
              <w:rPr>
                <w:rFonts w:cstheme="minorHAnsi"/>
              </w:rPr>
            </w:pPr>
          </w:p>
        </w:tc>
        <w:tc>
          <w:tcPr>
            <w:tcW w:w="711" w:type="dxa"/>
            <w:noWrap/>
            <w:hideMark/>
          </w:tcPr>
          <w:p w14:paraId="6A983B9A" w14:textId="77777777" w:rsidR="006E4472" w:rsidRPr="008C49A5" w:rsidRDefault="006E4472" w:rsidP="008C49A5">
            <w:pPr>
              <w:jc w:val="both"/>
              <w:rPr>
                <w:rFonts w:cstheme="minorHAnsi"/>
              </w:rPr>
            </w:pPr>
            <w:r w:rsidRPr="008C49A5">
              <w:rPr>
                <w:rFonts w:cstheme="minorHAnsi"/>
              </w:rPr>
              <w:t>10.02</w:t>
            </w:r>
          </w:p>
        </w:tc>
        <w:tc>
          <w:tcPr>
            <w:tcW w:w="732" w:type="dxa"/>
            <w:noWrap/>
            <w:hideMark/>
          </w:tcPr>
          <w:p w14:paraId="6D336DF1" w14:textId="77777777" w:rsidR="006E4472" w:rsidRPr="008C49A5" w:rsidRDefault="006E4472" w:rsidP="008C49A5">
            <w:pPr>
              <w:jc w:val="both"/>
              <w:rPr>
                <w:rFonts w:cstheme="minorHAnsi"/>
              </w:rPr>
            </w:pPr>
            <w:r w:rsidRPr="008C49A5">
              <w:rPr>
                <w:rFonts w:cstheme="minorHAnsi"/>
              </w:rPr>
              <w:t>1.08</w:t>
            </w:r>
          </w:p>
        </w:tc>
        <w:tc>
          <w:tcPr>
            <w:tcW w:w="873" w:type="dxa"/>
            <w:noWrap/>
            <w:hideMark/>
          </w:tcPr>
          <w:p w14:paraId="690D9F13" w14:textId="77777777" w:rsidR="006E4472" w:rsidRPr="008C49A5" w:rsidRDefault="006E4472" w:rsidP="008C49A5">
            <w:pPr>
              <w:jc w:val="both"/>
              <w:rPr>
                <w:rFonts w:cstheme="minorHAnsi"/>
              </w:rPr>
            </w:pPr>
          </w:p>
        </w:tc>
        <w:tc>
          <w:tcPr>
            <w:tcW w:w="814" w:type="dxa"/>
            <w:noWrap/>
            <w:hideMark/>
          </w:tcPr>
          <w:p w14:paraId="4A9C84BA" w14:textId="77777777" w:rsidR="006E4472" w:rsidRPr="008C49A5" w:rsidRDefault="006E4472" w:rsidP="008C49A5">
            <w:pPr>
              <w:jc w:val="both"/>
              <w:rPr>
                <w:rFonts w:cstheme="minorHAnsi"/>
              </w:rPr>
            </w:pPr>
          </w:p>
        </w:tc>
        <w:tc>
          <w:tcPr>
            <w:tcW w:w="741" w:type="dxa"/>
            <w:noWrap/>
            <w:hideMark/>
          </w:tcPr>
          <w:p w14:paraId="719CB1D4" w14:textId="77777777" w:rsidR="006E4472" w:rsidRPr="008C49A5" w:rsidRDefault="006E4472" w:rsidP="008C49A5">
            <w:pPr>
              <w:jc w:val="both"/>
              <w:rPr>
                <w:rFonts w:cstheme="minorHAnsi"/>
              </w:rPr>
            </w:pPr>
          </w:p>
        </w:tc>
        <w:tc>
          <w:tcPr>
            <w:tcW w:w="879" w:type="dxa"/>
            <w:noWrap/>
            <w:hideMark/>
          </w:tcPr>
          <w:p w14:paraId="235EFF30" w14:textId="77777777" w:rsidR="006E4472" w:rsidRPr="008C49A5" w:rsidRDefault="006E4472" w:rsidP="008C49A5">
            <w:pPr>
              <w:jc w:val="both"/>
              <w:rPr>
                <w:rFonts w:cstheme="minorHAnsi"/>
              </w:rPr>
            </w:pPr>
          </w:p>
        </w:tc>
        <w:tc>
          <w:tcPr>
            <w:tcW w:w="900" w:type="dxa"/>
            <w:noWrap/>
            <w:hideMark/>
          </w:tcPr>
          <w:p w14:paraId="0E70A0F1" w14:textId="77777777" w:rsidR="006E4472" w:rsidRPr="008C49A5" w:rsidRDefault="006E4472" w:rsidP="008C49A5">
            <w:pPr>
              <w:jc w:val="both"/>
              <w:rPr>
                <w:rFonts w:cstheme="minorHAnsi"/>
              </w:rPr>
            </w:pPr>
            <w:r w:rsidRPr="008C49A5">
              <w:rPr>
                <w:rFonts w:cstheme="minorHAnsi"/>
              </w:rPr>
              <w:t>-0.94</w:t>
            </w:r>
          </w:p>
        </w:tc>
      </w:tr>
    </w:tbl>
    <w:p w14:paraId="5A0208D2" w14:textId="13C9062B" w:rsidR="006E4472" w:rsidRPr="00A45768" w:rsidRDefault="006E4472" w:rsidP="008C49A5">
      <w:pPr>
        <w:jc w:val="both"/>
        <w:rPr>
          <w:rFonts w:cstheme="minorHAnsi"/>
        </w:rPr>
      </w:pPr>
    </w:p>
    <w:p w14:paraId="088861B7" w14:textId="77777777" w:rsidR="006E4472" w:rsidRPr="006E4472" w:rsidRDefault="006E4472" w:rsidP="008C49A5">
      <w:pPr>
        <w:spacing w:line="240" w:lineRule="auto"/>
        <w:jc w:val="both"/>
        <w:rPr>
          <w:rFonts w:cstheme="minorHAnsi"/>
        </w:rPr>
      </w:pPr>
      <w:r w:rsidRPr="006E4472">
        <w:rPr>
          <w:rFonts w:cstheme="minorHAnsi"/>
          <w:b/>
          <w:bCs/>
        </w:rPr>
        <w:lastRenderedPageBreak/>
        <w:t>Gross Profit Comparison:</w:t>
      </w:r>
    </w:p>
    <w:p w14:paraId="73196B90" w14:textId="77777777" w:rsidR="006E4472" w:rsidRPr="006E4472" w:rsidRDefault="006E4472" w:rsidP="008C49A5">
      <w:pPr>
        <w:numPr>
          <w:ilvl w:val="0"/>
          <w:numId w:val="24"/>
        </w:numPr>
        <w:spacing w:line="240" w:lineRule="auto"/>
        <w:jc w:val="both"/>
        <w:rPr>
          <w:rFonts w:cstheme="minorHAnsi"/>
        </w:rPr>
      </w:pPr>
      <w:r w:rsidRPr="006E4472">
        <w:rPr>
          <w:rFonts w:cstheme="minorHAnsi"/>
          <w:b/>
          <w:bCs/>
        </w:rPr>
        <w:t>Fox Corporation:</w:t>
      </w:r>
    </w:p>
    <w:p w14:paraId="31407B75" w14:textId="77777777" w:rsidR="006E4472" w:rsidRPr="006E4472" w:rsidRDefault="006E4472" w:rsidP="008C49A5">
      <w:pPr>
        <w:numPr>
          <w:ilvl w:val="1"/>
          <w:numId w:val="24"/>
        </w:numPr>
        <w:spacing w:line="240" w:lineRule="auto"/>
        <w:jc w:val="both"/>
        <w:rPr>
          <w:rFonts w:cstheme="minorHAnsi"/>
        </w:rPr>
      </w:pPr>
      <w:r w:rsidRPr="006E4472">
        <w:rPr>
          <w:rFonts w:cstheme="minorHAnsi"/>
        </w:rPr>
        <w:t>GP: $4,443.00M</w:t>
      </w:r>
    </w:p>
    <w:p w14:paraId="11CD12FF" w14:textId="77777777" w:rsidR="006E4472" w:rsidRPr="006E4472" w:rsidRDefault="006E4472" w:rsidP="008C49A5">
      <w:pPr>
        <w:numPr>
          <w:ilvl w:val="1"/>
          <w:numId w:val="24"/>
        </w:numPr>
        <w:spacing w:line="240" w:lineRule="auto"/>
        <w:jc w:val="both"/>
        <w:rPr>
          <w:rFonts w:cstheme="minorHAnsi"/>
        </w:rPr>
      </w:pPr>
      <w:r w:rsidRPr="006E4472">
        <w:rPr>
          <w:rFonts w:cstheme="minorHAnsi"/>
        </w:rPr>
        <w:t>GPG: -7.69%</w:t>
      </w:r>
    </w:p>
    <w:p w14:paraId="035E6BCD" w14:textId="77777777" w:rsidR="006E4472" w:rsidRPr="006E4472" w:rsidRDefault="006E4472" w:rsidP="008C49A5">
      <w:pPr>
        <w:numPr>
          <w:ilvl w:val="0"/>
          <w:numId w:val="24"/>
        </w:numPr>
        <w:spacing w:line="240" w:lineRule="auto"/>
        <w:jc w:val="both"/>
        <w:rPr>
          <w:rFonts w:cstheme="minorHAnsi"/>
        </w:rPr>
      </w:pPr>
      <w:r w:rsidRPr="006E4472">
        <w:rPr>
          <w:rFonts w:cstheme="minorHAnsi"/>
          <w:b/>
          <w:bCs/>
        </w:rPr>
        <w:t>Liberty Media Corp:</w:t>
      </w:r>
    </w:p>
    <w:p w14:paraId="585A3C90" w14:textId="77777777" w:rsidR="006E4472" w:rsidRPr="006E4472" w:rsidRDefault="006E4472" w:rsidP="008C49A5">
      <w:pPr>
        <w:numPr>
          <w:ilvl w:val="1"/>
          <w:numId w:val="24"/>
        </w:numPr>
        <w:spacing w:line="240" w:lineRule="auto"/>
        <w:jc w:val="both"/>
        <w:rPr>
          <w:rFonts w:cstheme="minorHAnsi"/>
        </w:rPr>
      </w:pPr>
      <w:r w:rsidRPr="006E4472">
        <w:rPr>
          <w:rFonts w:cstheme="minorHAnsi"/>
        </w:rPr>
        <w:t>GP: $3,865.00M</w:t>
      </w:r>
    </w:p>
    <w:p w14:paraId="18D236C8" w14:textId="77777777" w:rsidR="006E4472" w:rsidRPr="006E4472" w:rsidRDefault="006E4472" w:rsidP="008C49A5">
      <w:pPr>
        <w:numPr>
          <w:ilvl w:val="1"/>
          <w:numId w:val="24"/>
        </w:numPr>
        <w:spacing w:line="240" w:lineRule="auto"/>
        <w:jc w:val="both"/>
        <w:rPr>
          <w:rFonts w:cstheme="minorHAnsi"/>
        </w:rPr>
      </w:pPr>
      <w:r w:rsidRPr="006E4472">
        <w:rPr>
          <w:rFonts w:cstheme="minorHAnsi"/>
        </w:rPr>
        <w:t>GPG: 2.77%</w:t>
      </w:r>
    </w:p>
    <w:p w14:paraId="538C61A9" w14:textId="77777777" w:rsidR="006E4472" w:rsidRPr="006E4472" w:rsidRDefault="006E4472" w:rsidP="008C49A5">
      <w:pPr>
        <w:numPr>
          <w:ilvl w:val="0"/>
          <w:numId w:val="24"/>
        </w:numPr>
        <w:spacing w:line="240" w:lineRule="auto"/>
        <w:jc w:val="both"/>
        <w:rPr>
          <w:rFonts w:cstheme="minorHAnsi"/>
        </w:rPr>
      </w:pPr>
      <w:r w:rsidRPr="006E4472">
        <w:rPr>
          <w:rFonts w:cstheme="minorHAnsi"/>
          <w:b/>
          <w:bCs/>
        </w:rPr>
        <w:t>TEGNA Inc:</w:t>
      </w:r>
    </w:p>
    <w:p w14:paraId="5D3E6CB8" w14:textId="77777777" w:rsidR="008C49A5" w:rsidRDefault="006E4472" w:rsidP="008C49A5">
      <w:pPr>
        <w:numPr>
          <w:ilvl w:val="1"/>
          <w:numId w:val="24"/>
        </w:numPr>
        <w:spacing w:line="240" w:lineRule="auto"/>
        <w:jc w:val="both"/>
        <w:rPr>
          <w:rFonts w:cstheme="minorHAnsi"/>
        </w:rPr>
      </w:pPr>
      <w:r w:rsidRPr="006E4472">
        <w:rPr>
          <w:rFonts w:cstheme="minorHAnsi"/>
        </w:rPr>
        <w:t>GP: $1,050.</w:t>
      </w:r>
    </w:p>
    <w:p w14:paraId="4B8B636A" w14:textId="28ABADFC" w:rsidR="006E4472" w:rsidRPr="006E4472" w:rsidRDefault="006E4472" w:rsidP="008C49A5">
      <w:pPr>
        <w:numPr>
          <w:ilvl w:val="1"/>
          <w:numId w:val="24"/>
        </w:numPr>
        <w:spacing w:line="240" w:lineRule="auto"/>
        <w:jc w:val="both"/>
        <w:rPr>
          <w:rFonts w:cstheme="minorHAnsi"/>
        </w:rPr>
      </w:pPr>
      <w:r w:rsidRPr="006E4472">
        <w:rPr>
          <w:rFonts w:cstheme="minorHAnsi"/>
        </w:rPr>
        <w:t>74M</w:t>
      </w:r>
    </w:p>
    <w:p w14:paraId="3D71BD3D" w14:textId="77777777" w:rsidR="006E4472" w:rsidRPr="006E4472" w:rsidRDefault="006E4472" w:rsidP="008C49A5">
      <w:pPr>
        <w:numPr>
          <w:ilvl w:val="1"/>
          <w:numId w:val="24"/>
        </w:numPr>
        <w:spacing w:line="240" w:lineRule="auto"/>
        <w:jc w:val="both"/>
        <w:rPr>
          <w:rFonts w:cstheme="minorHAnsi"/>
        </w:rPr>
      </w:pPr>
      <w:r w:rsidRPr="006E4472">
        <w:rPr>
          <w:rFonts w:cstheme="minorHAnsi"/>
        </w:rPr>
        <w:t>GPG: -2.60%</w:t>
      </w:r>
    </w:p>
    <w:p w14:paraId="4F759DEF" w14:textId="77777777" w:rsidR="006E4472" w:rsidRPr="006E4472" w:rsidRDefault="006E4472" w:rsidP="008C49A5">
      <w:pPr>
        <w:numPr>
          <w:ilvl w:val="0"/>
          <w:numId w:val="24"/>
        </w:numPr>
        <w:spacing w:line="240" w:lineRule="auto"/>
        <w:jc w:val="both"/>
        <w:rPr>
          <w:rFonts w:cstheme="minorHAnsi"/>
        </w:rPr>
      </w:pPr>
      <w:r w:rsidRPr="006E4472">
        <w:rPr>
          <w:rFonts w:cstheme="minorHAnsi"/>
          <w:b/>
          <w:bCs/>
        </w:rPr>
        <w:t>Telefonica Brasil S.A., ADR:</w:t>
      </w:r>
    </w:p>
    <w:p w14:paraId="6E38AC51" w14:textId="77777777" w:rsidR="006E4472" w:rsidRPr="006E4472" w:rsidRDefault="006E4472" w:rsidP="008C49A5">
      <w:pPr>
        <w:numPr>
          <w:ilvl w:val="1"/>
          <w:numId w:val="24"/>
        </w:numPr>
        <w:spacing w:line="240" w:lineRule="auto"/>
        <w:jc w:val="both"/>
        <w:rPr>
          <w:rFonts w:cstheme="minorHAnsi"/>
        </w:rPr>
      </w:pPr>
      <w:r w:rsidRPr="006E4472">
        <w:rPr>
          <w:rFonts w:cstheme="minorHAnsi"/>
        </w:rPr>
        <w:t>GP: $4,216.20M</w:t>
      </w:r>
    </w:p>
    <w:p w14:paraId="0F379F1B" w14:textId="77777777" w:rsidR="006E4472" w:rsidRPr="006E4472" w:rsidRDefault="006E4472" w:rsidP="008C49A5">
      <w:pPr>
        <w:numPr>
          <w:ilvl w:val="1"/>
          <w:numId w:val="24"/>
        </w:numPr>
        <w:spacing w:line="240" w:lineRule="auto"/>
        <w:jc w:val="both"/>
        <w:rPr>
          <w:rFonts w:cstheme="minorHAnsi"/>
        </w:rPr>
      </w:pPr>
      <w:r w:rsidRPr="006E4472">
        <w:rPr>
          <w:rFonts w:cstheme="minorHAnsi"/>
        </w:rPr>
        <w:t>GPG: 3.78%</w:t>
      </w:r>
    </w:p>
    <w:p w14:paraId="58370FD5" w14:textId="77777777" w:rsidR="006E4472" w:rsidRPr="006E4472" w:rsidRDefault="006E4472" w:rsidP="008C49A5">
      <w:pPr>
        <w:jc w:val="both"/>
        <w:rPr>
          <w:rFonts w:cstheme="minorHAnsi"/>
        </w:rPr>
      </w:pPr>
      <w:r w:rsidRPr="006E4472">
        <w:rPr>
          <w:rFonts w:cstheme="minorHAnsi"/>
          <w:b/>
          <w:bCs/>
        </w:rPr>
        <w:t>Observation:</w:t>
      </w:r>
    </w:p>
    <w:p w14:paraId="536745DB" w14:textId="77777777" w:rsidR="006E4472" w:rsidRPr="006E4472" w:rsidRDefault="006E4472" w:rsidP="008C49A5">
      <w:pPr>
        <w:numPr>
          <w:ilvl w:val="0"/>
          <w:numId w:val="25"/>
        </w:numPr>
        <w:jc w:val="both"/>
        <w:rPr>
          <w:rFonts w:cstheme="minorHAnsi"/>
        </w:rPr>
      </w:pPr>
      <w:r w:rsidRPr="006E4472">
        <w:rPr>
          <w:rFonts w:cstheme="minorHAnsi"/>
          <w:b/>
          <w:bCs/>
        </w:rPr>
        <w:t>Gross Profit:</w:t>
      </w:r>
      <w:r w:rsidRPr="006E4472">
        <w:rPr>
          <w:rFonts w:cstheme="minorHAnsi"/>
        </w:rPr>
        <w:t xml:space="preserve"> Fox Corporation and Telefonica Brasil S.A., ADR lead in gross profit, with Fox Corporation having the highest.</w:t>
      </w:r>
    </w:p>
    <w:p w14:paraId="3BEFB67B" w14:textId="77777777" w:rsidR="006E4472" w:rsidRPr="006E4472" w:rsidRDefault="006E4472" w:rsidP="008C49A5">
      <w:pPr>
        <w:numPr>
          <w:ilvl w:val="0"/>
          <w:numId w:val="25"/>
        </w:numPr>
        <w:jc w:val="both"/>
        <w:rPr>
          <w:rFonts w:cstheme="minorHAnsi"/>
        </w:rPr>
      </w:pPr>
      <w:r w:rsidRPr="006E4472">
        <w:rPr>
          <w:rFonts w:cstheme="minorHAnsi"/>
          <w:b/>
          <w:bCs/>
        </w:rPr>
        <w:t>Gross Profit Growth:</w:t>
      </w:r>
      <w:r w:rsidRPr="006E4472">
        <w:rPr>
          <w:rFonts w:cstheme="minorHAnsi"/>
        </w:rPr>
        <w:t xml:space="preserve"> Telefonica Brasil S.A., ADR has the best growth, while Fox Corporation shows a decline in gross profit.</w:t>
      </w:r>
    </w:p>
    <w:p w14:paraId="4643AF0A" w14:textId="77777777" w:rsidR="006E4472" w:rsidRPr="006E4472" w:rsidRDefault="006E4472" w:rsidP="008C49A5">
      <w:pPr>
        <w:jc w:val="both"/>
        <w:rPr>
          <w:rFonts w:cstheme="minorHAnsi"/>
        </w:rPr>
      </w:pPr>
      <w:r w:rsidRPr="006E4472">
        <w:rPr>
          <w:rFonts w:cstheme="minorHAnsi"/>
          <w:b/>
          <w:bCs/>
        </w:rPr>
        <w:t>Valuation Metrics Comparison:</w:t>
      </w:r>
    </w:p>
    <w:p w14:paraId="2D9EE9B4" w14:textId="77777777" w:rsidR="006E4472" w:rsidRPr="006E4472" w:rsidRDefault="006E4472" w:rsidP="008C49A5">
      <w:pPr>
        <w:numPr>
          <w:ilvl w:val="0"/>
          <w:numId w:val="26"/>
        </w:numPr>
        <w:jc w:val="both"/>
        <w:rPr>
          <w:rFonts w:cstheme="minorHAnsi"/>
        </w:rPr>
      </w:pPr>
      <w:r w:rsidRPr="006E4472">
        <w:rPr>
          <w:rFonts w:cstheme="minorHAnsi"/>
          <w:b/>
          <w:bCs/>
        </w:rPr>
        <w:t>Market Capitalization:</w:t>
      </w:r>
      <w:r w:rsidRPr="006E4472">
        <w:rPr>
          <w:rFonts w:cstheme="minorHAnsi"/>
        </w:rPr>
        <w:t xml:space="preserve"> Fox Corporation is the largest in its sector.</w:t>
      </w:r>
    </w:p>
    <w:p w14:paraId="447862CD" w14:textId="77777777" w:rsidR="006E4472" w:rsidRPr="006E4472" w:rsidRDefault="006E4472" w:rsidP="008C49A5">
      <w:pPr>
        <w:numPr>
          <w:ilvl w:val="0"/>
          <w:numId w:val="26"/>
        </w:numPr>
        <w:jc w:val="both"/>
        <w:rPr>
          <w:rFonts w:cstheme="minorHAnsi"/>
        </w:rPr>
      </w:pPr>
      <w:r w:rsidRPr="006E4472">
        <w:rPr>
          <w:rFonts w:cstheme="minorHAnsi"/>
          <w:b/>
          <w:bCs/>
        </w:rPr>
        <w:t>P/E Ratio:</w:t>
      </w:r>
      <w:r w:rsidRPr="006E4472">
        <w:rPr>
          <w:rFonts w:cstheme="minorHAnsi"/>
        </w:rPr>
        <w:t xml:space="preserve"> Fox Corporation has a P/E ratio (11.55) slightly above the sector average (10.02), indicating a higher valuation relative to earnings.</w:t>
      </w:r>
    </w:p>
    <w:p w14:paraId="59732617" w14:textId="08A63993" w:rsidR="006E4472" w:rsidRPr="006E4472" w:rsidRDefault="006E4472" w:rsidP="008C49A5">
      <w:pPr>
        <w:numPr>
          <w:ilvl w:val="0"/>
          <w:numId w:val="26"/>
        </w:numPr>
        <w:jc w:val="both"/>
        <w:rPr>
          <w:rFonts w:cstheme="minorHAnsi"/>
        </w:rPr>
      </w:pPr>
      <w:r w:rsidRPr="006E4472">
        <w:rPr>
          <w:rFonts w:cstheme="minorHAnsi"/>
          <w:b/>
          <w:bCs/>
        </w:rPr>
        <w:t>P/S Ratio:</w:t>
      </w:r>
      <w:r w:rsidRPr="006E4472">
        <w:rPr>
          <w:rFonts w:cstheme="minorHAnsi"/>
        </w:rPr>
        <w:t xml:space="preserve"> Fox Corporation has a P/S ratio (1.07) close to the sector average (1.08), suggesting it is </w:t>
      </w:r>
      <w:r w:rsidRPr="008C49A5">
        <w:rPr>
          <w:rFonts w:cstheme="minorHAnsi"/>
        </w:rPr>
        <w:t>fairly</w:t>
      </w:r>
      <w:r w:rsidRPr="006E4472">
        <w:rPr>
          <w:rFonts w:cstheme="minorHAnsi"/>
        </w:rPr>
        <w:t xml:space="preserve"> valued</w:t>
      </w:r>
      <w:r w:rsidRPr="008C49A5">
        <w:rPr>
          <w:rFonts w:cstheme="minorHAnsi"/>
        </w:rPr>
        <w:t xml:space="preserve"> (undervalued)</w:t>
      </w:r>
      <w:r w:rsidRPr="006E4472">
        <w:rPr>
          <w:rFonts w:cstheme="minorHAnsi"/>
        </w:rPr>
        <w:t xml:space="preserve"> relative to its sales.</w:t>
      </w:r>
    </w:p>
    <w:p w14:paraId="31893578" w14:textId="77777777" w:rsidR="006E4472" w:rsidRPr="006E4472" w:rsidRDefault="006E4472" w:rsidP="008C49A5">
      <w:pPr>
        <w:jc w:val="both"/>
        <w:rPr>
          <w:rFonts w:cstheme="minorHAnsi"/>
        </w:rPr>
      </w:pPr>
      <w:r w:rsidRPr="006E4472">
        <w:rPr>
          <w:rFonts w:cstheme="minorHAnsi"/>
          <w:b/>
          <w:bCs/>
        </w:rPr>
        <w:t>Summary:</w:t>
      </w:r>
      <w:r w:rsidRPr="006E4472">
        <w:rPr>
          <w:rFonts w:cstheme="minorHAnsi"/>
        </w:rPr>
        <w:t xml:space="preserve"> Fox Corporation has a substantial gross profit ($4,443.00M) but a negative growth rate (-7.69%). Despite having valuation metrics close to the sector average, the large gross profit and market cap suggest the potential for long-term stability and growth, particularly if the company can improve its growth rate.</w:t>
      </w:r>
    </w:p>
    <w:p w14:paraId="5AA83BB5" w14:textId="77777777" w:rsidR="008C49A5" w:rsidRDefault="008C49A5" w:rsidP="008C49A5">
      <w:pPr>
        <w:jc w:val="both"/>
        <w:rPr>
          <w:rFonts w:cstheme="minorHAnsi"/>
          <w:b/>
          <w:bCs/>
        </w:rPr>
      </w:pPr>
    </w:p>
    <w:p w14:paraId="1DB1F57C" w14:textId="3EDDB652" w:rsidR="008C49A5" w:rsidRPr="008C49A5" w:rsidRDefault="008C49A5" w:rsidP="008C49A5">
      <w:pPr>
        <w:jc w:val="both"/>
        <w:rPr>
          <w:rFonts w:ascii="Algerian" w:hAnsi="Algerian" w:cstheme="minorHAnsi"/>
        </w:rPr>
      </w:pPr>
      <w:r w:rsidRPr="008C49A5">
        <w:rPr>
          <w:rFonts w:ascii="Algerian" w:hAnsi="Algerian" w:cstheme="minorHAnsi"/>
          <w:b/>
          <w:bCs/>
        </w:rPr>
        <w:t>CONCLUSION</w:t>
      </w:r>
    </w:p>
    <w:p w14:paraId="4F2365EB" w14:textId="77777777" w:rsidR="008C49A5" w:rsidRPr="008C49A5" w:rsidRDefault="008C49A5" w:rsidP="008C49A5">
      <w:pPr>
        <w:jc w:val="both"/>
        <w:rPr>
          <w:rFonts w:cstheme="minorHAnsi"/>
        </w:rPr>
      </w:pPr>
      <w:r w:rsidRPr="008C49A5">
        <w:rPr>
          <w:rFonts w:cstheme="minorHAnsi"/>
        </w:rPr>
        <w:t xml:space="preserve">The comparative analysis reveals that Atlanticus Holdings Corp, Diebold Nixdorf Inc, Ready Capital Corp, and Nexstar Media Group, Inc. exhibit characteristics of undervalued companies based on their valuation </w:t>
      </w:r>
      <w:r w:rsidRPr="008C49A5">
        <w:rPr>
          <w:rFonts w:cstheme="minorHAnsi"/>
        </w:rPr>
        <w:lastRenderedPageBreak/>
        <w:t>metrics and gross profit performance. These companies have potential for future growth and appreciation in value, making them attractive investment opportunities. Incorporating total revenue into the analysis further substantiates their market performance and financial health, enhancing the accuracy of the valuation model.</w:t>
      </w:r>
    </w:p>
    <w:p w14:paraId="7A6DA560" w14:textId="6F17E2E1" w:rsidR="0019233C" w:rsidRPr="008C49A5" w:rsidRDefault="0019233C" w:rsidP="008C49A5">
      <w:pPr>
        <w:jc w:val="both"/>
        <w:rPr>
          <w:rFonts w:cstheme="minorHAnsi"/>
        </w:rPr>
      </w:pPr>
    </w:p>
    <w:p w14:paraId="663ED8AD" w14:textId="7B0A8D4A" w:rsidR="00FC719B" w:rsidRPr="008C49A5" w:rsidRDefault="00FC719B" w:rsidP="008C49A5">
      <w:pPr>
        <w:jc w:val="both"/>
        <w:rPr>
          <w:rFonts w:cstheme="minorHAnsi"/>
        </w:rPr>
      </w:pPr>
      <w:r w:rsidRPr="008C49A5">
        <w:rPr>
          <w:rFonts w:cstheme="minorHAnsi"/>
        </w:rPr>
        <w:t>The diagram</w:t>
      </w:r>
      <w:r w:rsidR="004B2404" w:rsidRPr="008C49A5">
        <w:rPr>
          <w:rFonts w:cstheme="minorHAnsi"/>
        </w:rPr>
        <w:t>s</w:t>
      </w:r>
      <w:r w:rsidRPr="008C49A5">
        <w:rPr>
          <w:rFonts w:cstheme="minorHAnsi"/>
        </w:rPr>
        <w:t xml:space="preserve"> below </w:t>
      </w:r>
      <w:r w:rsidR="004A4B76" w:rsidRPr="008C49A5">
        <w:rPr>
          <w:rFonts w:cstheme="minorHAnsi"/>
        </w:rPr>
        <w:t>show</w:t>
      </w:r>
      <w:r w:rsidRPr="008C49A5">
        <w:rPr>
          <w:rFonts w:cstheme="minorHAnsi"/>
        </w:rPr>
        <w:t xml:space="preserve"> the Market Capitalization by each sector of the chosen companies</w:t>
      </w:r>
      <w:r w:rsidR="004B2404" w:rsidRPr="008C49A5">
        <w:rPr>
          <w:rFonts w:cstheme="minorHAnsi"/>
        </w:rPr>
        <w:t xml:space="preserve"> and the Value metrics of each chose companies. </w:t>
      </w:r>
    </w:p>
    <w:p w14:paraId="5E2D857B" w14:textId="463E7E1C" w:rsidR="004B2404" w:rsidRPr="008C49A5" w:rsidRDefault="004B2404" w:rsidP="008C49A5">
      <w:pPr>
        <w:jc w:val="both"/>
        <w:rPr>
          <w:rFonts w:cstheme="minorHAnsi"/>
        </w:rPr>
      </w:pPr>
      <w:r w:rsidRPr="008C49A5">
        <w:rPr>
          <w:rFonts w:cstheme="minorHAnsi"/>
          <w:noProof/>
        </w:rPr>
        <w:drawing>
          <wp:anchor distT="0" distB="0" distL="114300" distR="114300" simplePos="0" relativeHeight="251658240" behindDoc="1" locked="0" layoutInCell="1" allowOverlap="1" wp14:anchorId="6E0339E5" wp14:editId="0AA56BF0">
            <wp:simplePos x="0" y="0"/>
            <wp:positionH relativeFrom="margin">
              <wp:posOffset>-469900</wp:posOffset>
            </wp:positionH>
            <wp:positionV relativeFrom="paragraph">
              <wp:posOffset>361950</wp:posOffset>
            </wp:positionV>
            <wp:extent cx="3384550" cy="2203450"/>
            <wp:effectExtent l="0" t="0" r="6350" b="6350"/>
            <wp:wrapSquare wrapText="bothSides"/>
            <wp:docPr id="1704745572" name="Chart 1">
              <a:extLst xmlns:a="http://schemas.openxmlformats.org/drawingml/2006/main">
                <a:ext uri="{FF2B5EF4-FFF2-40B4-BE49-F238E27FC236}">
                  <a16:creationId xmlns:a16="http://schemas.microsoft.com/office/drawing/2014/main" id="{DAA76EE3-EA55-DA76-42DE-FCA6217BB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61AFAD7B" w14:textId="77777777" w:rsidR="008C49A5" w:rsidRDefault="004B2404" w:rsidP="008C49A5">
      <w:pPr>
        <w:tabs>
          <w:tab w:val="num" w:pos="720"/>
        </w:tabs>
        <w:jc w:val="both"/>
        <w:rPr>
          <w:rFonts w:cstheme="minorHAnsi"/>
        </w:rPr>
      </w:pPr>
      <w:r w:rsidRPr="008C49A5">
        <w:rPr>
          <w:rFonts w:cstheme="minorHAnsi"/>
          <w:noProof/>
        </w:rPr>
        <w:drawing>
          <wp:anchor distT="0" distB="0" distL="114300" distR="114300" simplePos="0" relativeHeight="251659264" behindDoc="0" locked="0" layoutInCell="1" allowOverlap="1" wp14:anchorId="3FE2A701" wp14:editId="4D881998">
            <wp:simplePos x="0" y="0"/>
            <wp:positionH relativeFrom="column">
              <wp:posOffset>2984500</wp:posOffset>
            </wp:positionH>
            <wp:positionV relativeFrom="paragraph">
              <wp:posOffset>95250</wp:posOffset>
            </wp:positionV>
            <wp:extent cx="3549650" cy="2197100"/>
            <wp:effectExtent l="0" t="0" r="0" b="0"/>
            <wp:wrapSquare wrapText="bothSides"/>
            <wp:docPr id="643186131" name="Chart 1">
              <a:extLst xmlns:a="http://schemas.openxmlformats.org/drawingml/2006/main">
                <a:ext uri="{FF2B5EF4-FFF2-40B4-BE49-F238E27FC236}">
                  <a16:creationId xmlns:a16="http://schemas.microsoft.com/office/drawing/2014/main" id="{10B99AF6-13BD-67DA-71AE-C4592ADED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331DF37" w14:textId="77777777" w:rsidR="008C49A5" w:rsidRDefault="008C49A5" w:rsidP="008C49A5">
      <w:pPr>
        <w:tabs>
          <w:tab w:val="num" w:pos="720"/>
        </w:tabs>
        <w:jc w:val="both"/>
        <w:rPr>
          <w:rFonts w:cstheme="minorHAnsi"/>
        </w:rPr>
      </w:pPr>
    </w:p>
    <w:p w14:paraId="6DE31F9B" w14:textId="2B9F23EC" w:rsidR="00CF6010" w:rsidRPr="008C49A5" w:rsidRDefault="00CF6010" w:rsidP="008C49A5">
      <w:pPr>
        <w:tabs>
          <w:tab w:val="num" w:pos="720"/>
        </w:tabs>
        <w:jc w:val="both"/>
        <w:rPr>
          <w:rFonts w:ascii="Algerian" w:hAnsi="Algerian" w:cstheme="minorHAnsi"/>
          <w:b/>
          <w:bCs/>
        </w:rPr>
      </w:pPr>
      <w:r w:rsidRPr="008C49A5">
        <w:rPr>
          <w:rFonts w:ascii="Algerian" w:hAnsi="Algerian" w:cstheme="minorHAnsi"/>
          <w:b/>
          <w:bCs/>
        </w:rPr>
        <w:t>MODEL ANALYSIS</w:t>
      </w:r>
    </w:p>
    <w:p w14:paraId="4D4A50C5" w14:textId="715BE813" w:rsidR="00C119EC" w:rsidRPr="008C49A5" w:rsidRDefault="00C119EC" w:rsidP="008C49A5">
      <w:pPr>
        <w:tabs>
          <w:tab w:val="num" w:pos="720"/>
        </w:tabs>
        <w:jc w:val="both"/>
        <w:rPr>
          <w:rFonts w:ascii="Algerian" w:hAnsi="Algerian" w:cstheme="minorHAnsi"/>
          <w:b/>
          <w:bCs/>
        </w:rPr>
      </w:pPr>
      <w:r w:rsidRPr="008C49A5">
        <w:rPr>
          <w:rFonts w:ascii="Algerian" w:hAnsi="Algerian" w:cstheme="minorHAnsi"/>
          <w:b/>
          <w:bCs/>
        </w:rPr>
        <w:t>VALUATION MODEL</w:t>
      </w:r>
    </w:p>
    <w:p w14:paraId="370984D6" w14:textId="77777777" w:rsidR="00C119EC" w:rsidRPr="008C49A5" w:rsidRDefault="00C119EC" w:rsidP="008C49A5">
      <w:pPr>
        <w:pStyle w:val="ListParagraph"/>
        <w:numPr>
          <w:ilvl w:val="0"/>
          <w:numId w:val="3"/>
        </w:numPr>
        <w:tabs>
          <w:tab w:val="num" w:pos="720"/>
        </w:tabs>
        <w:jc w:val="both"/>
        <w:rPr>
          <w:rFonts w:cstheme="minorHAnsi"/>
        </w:rPr>
      </w:pPr>
      <w:r w:rsidRPr="008C49A5">
        <w:rPr>
          <w:rFonts w:cstheme="minorHAnsi"/>
          <w:b/>
          <w:bCs/>
        </w:rPr>
        <w:t>Model Used:</w:t>
      </w:r>
      <w:r w:rsidRPr="008C49A5">
        <w:rPr>
          <w:rFonts w:cstheme="minorHAnsi"/>
        </w:rPr>
        <w:t xml:space="preserve"> Discounted Cash Flow (DCF) Model</w:t>
      </w:r>
    </w:p>
    <w:p w14:paraId="0339D578" w14:textId="079AFEE2" w:rsidR="00C119EC" w:rsidRPr="008C49A5" w:rsidRDefault="00C119EC" w:rsidP="008C49A5">
      <w:pPr>
        <w:pStyle w:val="ListParagraph"/>
        <w:numPr>
          <w:ilvl w:val="0"/>
          <w:numId w:val="3"/>
        </w:numPr>
        <w:tabs>
          <w:tab w:val="num" w:pos="720"/>
        </w:tabs>
        <w:jc w:val="both"/>
        <w:rPr>
          <w:rFonts w:cstheme="minorHAnsi"/>
        </w:rPr>
      </w:pPr>
      <w:r w:rsidRPr="008C49A5">
        <w:rPr>
          <w:rFonts w:cstheme="minorHAnsi"/>
          <w:b/>
          <w:bCs/>
        </w:rPr>
        <w:t>Explanation:</w:t>
      </w:r>
      <w:r w:rsidRPr="008C49A5">
        <w:rPr>
          <w:rFonts w:cstheme="minorHAnsi"/>
        </w:rPr>
        <w:t xml:space="preserve"> The DCF model projects the company's future cash flows and discounts them to their present value using a discount rate. This model accounts for the time value of money and provides a valuation based on expected future performance.</w:t>
      </w:r>
      <w:r w:rsidRPr="008C49A5">
        <w:rPr>
          <w:rFonts w:cstheme="minorHAnsi"/>
        </w:rPr>
        <w:t xml:space="preserve"> </w:t>
      </w:r>
    </w:p>
    <w:p w14:paraId="204F39CF" w14:textId="77777777" w:rsidR="00623A3A" w:rsidRPr="00623A3A" w:rsidRDefault="00623A3A" w:rsidP="008C49A5">
      <w:pPr>
        <w:jc w:val="both"/>
        <w:rPr>
          <w:rFonts w:cstheme="minorHAnsi"/>
          <w:b/>
          <w:bCs/>
        </w:rPr>
      </w:pPr>
      <w:r w:rsidRPr="00623A3A">
        <w:rPr>
          <w:rFonts w:cstheme="minorHAnsi"/>
          <w:b/>
          <w:bCs/>
        </w:rPr>
        <w:t>Model Assumptions:</w:t>
      </w:r>
    </w:p>
    <w:p w14:paraId="1A69849B" w14:textId="77777777" w:rsidR="00623A3A" w:rsidRPr="00623A3A" w:rsidRDefault="00623A3A" w:rsidP="008C49A5">
      <w:pPr>
        <w:numPr>
          <w:ilvl w:val="0"/>
          <w:numId w:val="27"/>
        </w:numPr>
        <w:jc w:val="both"/>
        <w:rPr>
          <w:rFonts w:cstheme="minorHAnsi"/>
        </w:rPr>
      </w:pPr>
      <w:r w:rsidRPr="00623A3A">
        <w:rPr>
          <w:rFonts w:cstheme="minorHAnsi"/>
          <w:b/>
          <w:bCs/>
        </w:rPr>
        <w:t>Current GP and GPG are constant</w:t>
      </w:r>
      <w:r w:rsidRPr="00623A3A">
        <w:rPr>
          <w:rFonts w:cstheme="minorHAnsi"/>
        </w:rPr>
        <w:t>: We assume the growth rate remains stable over the next four years.</w:t>
      </w:r>
    </w:p>
    <w:p w14:paraId="5D10EFF2" w14:textId="77777777" w:rsidR="00623A3A" w:rsidRPr="00623A3A" w:rsidRDefault="00623A3A" w:rsidP="008C49A5">
      <w:pPr>
        <w:numPr>
          <w:ilvl w:val="0"/>
          <w:numId w:val="27"/>
        </w:numPr>
        <w:jc w:val="both"/>
        <w:rPr>
          <w:rFonts w:cstheme="minorHAnsi"/>
        </w:rPr>
      </w:pPr>
      <w:r w:rsidRPr="00623A3A">
        <w:rPr>
          <w:rFonts w:cstheme="minorHAnsi"/>
          <w:b/>
          <w:bCs/>
        </w:rPr>
        <w:t>Sector trends are constant</w:t>
      </w:r>
      <w:r w:rsidRPr="00623A3A">
        <w:rPr>
          <w:rFonts w:cstheme="minorHAnsi"/>
        </w:rPr>
        <w:t>: We use the sector average growth rate for comparison.</w:t>
      </w:r>
    </w:p>
    <w:p w14:paraId="01248F30" w14:textId="6700FBC3" w:rsidR="00623A3A" w:rsidRPr="008C49A5" w:rsidRDefault="00623A3A" w:rsidP="008C49A5">
      <w:pPr>
        <w:numPr>
          <w:ilvl w:val="0"/>
          <w:numId w:val="27"/>
        </w:numPr>
        <w:jc w:val="both"/>
        <w:rPr>
          <w:rFonts w:cstheme="minorHAnsi"/>
        </w:rPr>
      </w:pPr>
      <w:r w:rsidRPr="00623A3A">
        <w:rPr>
          <w:rFonts w:cstheme="minorHAnsi"/>
          <w:b/>
          <w:bCs/>
        </w:rPr>
        <w:t>Discount rate</w:t>
      </w:r>
      <w:r w:rsidRPr="00623A3A">
        <w:rPr>
          <w:rFonts w:cstheme="minorHAnsi"/>
        </w:rPr>
        <w:t>: A typical discount rate of 10% for future cash flows.</w:t>
      </w:r>
    </w:p>
    <w:p w14:paraId="036F6503" w14:textId="39F9C709" w:rsidR="00623A3A" w:rsidRPr="008C49A5" w:rsidRDefault="00623A3A" w:rsidP="008C49A5">
      <w:pPr>
        <w:ind w:left="360"/>
        <w:jc w:val="both"/>
        <w:rPr>
          <w:rFonts w:cstheme="minorHAnsi"/>
        </w:rPr>
      </w:pPr>
      <w:r w:rsidRPr="008C49A5">
        <w:rPr>
          <w:rFonts w:cstheme="minorHAnsi"/>
          <w:b/>
          <w:bCs/>
        </w:rPr>
        <w:t xml:space="preserve">To </w:t>
      </w:r>
      <w:r w:rsidRPr="008C49A5">
        <w:rPr>
          <w:rFonts w:cstheme="minorHAnsi"/>
        </w:rPr>
        <w:t xml:space="preserve">calculate GP in 4 years, the formular below was used to get the Gross Profit in four (4) years. </w:t>
      </w:r>
    </w:p>
    <w:p w14:paraId="6E1C2923" w14:textId="1DEDC37D" w:rsidR="00623A3A" w:rsidRPr="008C49A5" w:rsidRDefault="00623A3A" w:rsidP="008C49A5">
      <w:pPr>
        <w:ind w:left="360"/>
        <w:jc w:val="both"/>
        <w:rPr>
          <w:rFonts w:cstheme="minorHAnsi"/>
          <w:b/>
          <w:bCs/>
        </w:rPr>
      </w:pPr>
      <w:r w:rsidRPr="008C49A5">
        <w:rPr>
          <w:rFonts w:cstheme="minorHAnsi"/>
          <w:b/>
          <w:bCs/>
        </w:rPr>
        <w:t xml:space="preserve">GP in 4 years: </w:t>
      </w:r>
      <w:r w:rsidRPr="008C49A5">
        <w:rPr>
          <w:rFonts w:cstheme="minorHAnsi"/>
          <w:b/>
          <w:bCs/>
        </w:rPr>
        <w:t xml:space="preserve">Future GP </w:t>
      </w:r>
      <w:r w:rsidRPr="008C49A5">
        <w:rPr>
          <w:rFonts w:cstheme="minorHAnsi"/>
          <w:b/>
          <w:bCs/>
        </w:rPr>
        <w:t>=</w:t>
      </w:r>
      <w:r w:rsidRPr="008C49A5">
        <w:rPr>
          <w:rFonts w:cstheme="minorHAnsi"/>
          <w:b/>
          <w:bCs/>
        </w:rPr>
        <w:t xml:space="preserve"> Current GP * (1 + GPG) ^ 4</w:t>
      </w:r>
    </w:p>
    <w:p w14:paraId="069CF3EC" w14:textId="467B16EB" w:rsidR="00623A3A" w:rsidRPr="00623A3A" w:rsidRDefault="00623A3A" w:rsidP="008C49A5">
      <w:pPr>
        <w:ind w:left="360"/>
        <w:jc w:val="both"/>
        <w:rPr>
          <w:rFonts w:cstheme="minorHAnsi"/>
        </w:rPr>
      </w:pPr>
      <w:r w:rsidRPr="008C49A5">
        <w:rPr>
          <w:rFonts w:cstheme="minorHAnsi"/>
        </w:rPr>
        <w:lastRenderedPageBreak/>
        <w:t>T</w:t>
      </w:r>
      <w:r w:rsidRPr="00623A3A">
        <w:rPr>
          <w:rFonts w:cstheme="minorHAnsi"/>
        </w:rPr>
        <w:t>o analyze if a company is currently undervalued or overvalued using the provided valuation model, we will:</w:t>
      </w:r>
    </w:p>
    <w:p w14:paraId="7D53AE89" w14:textId="1B27B2C1" w:rsidR="00623A3A" w:rsidRPr="008C49A5" w:rsidRDefault="00623A3A" w:rsidP="008C49A5">
      <w:pPr>
        <w:pStyle w:val="ListParagraph"/>
        <w:numPr>
          <w:ilvl w:val="0"/>
          <w:numId w:val="28"/>
        </w:numPr>
        <w:jc w:val="both"/>
        <w:rPr>
          <w:rFonts w:cstheme="minorHAnsi"/>
        </w:rPr>
      </w:pPr>
      <w:r w:rsidRPr="008C49A5">
        <w:rPr>
          <w:rFonts w:cstheme="minorHAnsi"/>
        </w:rPr>
        <w:t>Use the Discounted Cash Flow (DCF) method to find the present value of the future GP.</w:t>
      </w:r>
    </w:p>
    <w:p w14:paraId="0E5BA76C" w14:textId="77777777" w:rsidR="00623A3A" w:rsidRPr="00623A3A" w:rsidRDefault="00623A3A" w:rsidP="008C49A5">
      <w:pPr>
        <w:numPr>
          <w:ilvl w:val="0"/>
          <w:numId w:val="28"/>
        </w:numPr>
        <w:jc w:val="both"/>
        <w:rPr>
          <w:rFonts w:cstheme="minorHAnsi"/>
        </w:rPr>
      </w:pPr>
      <w:r w:rsidRPr="00623A3A">
        <w:rPr>
          <w:rFonts w:cstheme="minorHAnsi"/>
        </w:rPr>
        <w:t>Compare the present value with the current market capitalization.</w:t>
      </w:r>
    </w:p>
    <w:p w14:paraId="6D329234" w14:textId="77777777" w:rsidR="00623A3A" w:rsidRPr="008C49A5" w:rsidRDefault="00623A3A" w:rsidP="008C49A5">
      <w:pPr>
        <w:numPr>
          <w:ilvl w:val="0"/>
          <w:numId w:val="28"/>
        </w:numPr>
        <w:jc w:val="both"/>
        <w:rPr>
          <w:rFonts w:cstheme="minorHAnsi"/>
        </w:rPr>
      </w:pPr>
      <w:r w:rsidRPr="00623A3A">
        <w:rPr>
          <w:rFonts w:cstheme="minorHAnsi"/>
        </w:rPr>
        <w:t>Determine if the company is undervalued or overvalued based on this comparison.</w:t>
      </w:r>
    </w:p>
    <w:p w14:paraId="59589CB5" w14:textId="77777777" w:rsidR="008C49A5" w:rsidRDefault="008C49A5" w:rsidP="008C49A5">
      <w:pPr>
        <w:ind w:left="360"/>
        <w:jc w:val="both"/>
        <w:rPr>
          <w:rFonts w:cstheme="minorHAnsi"/>
        </w:rPr>
      </w:pPr>
    </w:p>
    <w:p w14:paraId="28882772" w14:textId="08199AE9" w:rsidR="00623A3A" w:rsidRPr="008C49A5" w:rsidRDefault="00623A3A" w:rsidP="008C49A5">
      <w:pPr>
        <w:ind w:left="360"/>
        <w:jc w:val="both"/>
        <w:rPr>
          <w:rFonts w:cstheme="minorHAnsi"/>
        </w:rPr>
      </w:pPr>
      <w:r w:rsidRPr="008C49A5">
        <w:rPr>
          <w:rFonts w:cstheme="minorHAnsi"/>
        </w:rPr>
        <w:t>Formular used to get Present value of the future GP:</w:t>
      </w:r>
    </w:p>
    <w:p w14:paraId="6A9E375E" w14:textId="4E6939C0" w:rsidR="00623A3A" w:rsidRPr="008C49A5" w:rsidRDefault="00623A3A" w:rsidP="008C49A5">
      <w:pPr>
        <w:ind w:left="360"/>
        <w:jc w:val="both"/>
        <w:rPr>
          <w:rFonts w:cstheme="minorHAnsi"/>
          <w:b/>
          <w:bCs/>
        </w:rPr>
      </w:pPr>
      <w:r w:rsidRPr="008C49A5">
        <w:rPr>
          <w:rFonts w:cstheme="minorHAnsi"/>
          <w:b/>
          <w:bCs/>
        </w:rPr>
        <w:t xml:space="preserve">Present Value = Future GP/ ((1 + r) ^ n) where n is the number of years (4 years) and r is the discount rate. </w:t>
      </w:r>
    </w:p>
    <w:p w14:paraId="26093354" w14:textId="77777777" w:rsidR="00CF6010" w:rsidRPr="008C49A5" w:rsidRDefault="00CF6010" w:rsidP="008C49A5">
      <w:pPr>
        <w:ind w:left="360"/>
        <w:jc w:val="both"/>
        <w:rPr>
          <w:rFonts w:cstheme="minorHAnsi"/>
          <w:b/>
          <w:bCs/>
        </w:rPr>
      </w:pPr>
      <w:r w:rsidRPr="008C49A5">
        <w:rPr>
          <w:rFonts w:cstheme="minorHAnsi"/>
          <w:b/>
          <w:bCs/>
        </w:rPr>
        <w:t xml:space="preserve">NOTE: </w:t>
      </w:r>
      <w:r w:rsidRPr="008C49A5">
        <w:rPr>
          <w:rFonts w:cstheme="minorHAnsi"/>
          <w:b/>
          <w:bCs/>
        </w:rPr>
        <w:t>Compare Present Value with Current Market Capitalization:</w:t>
      </w:r>
    </w:p>
    <w:p w14:paraId="3AA35448" w14:textId="02597999" w:rsidR="00CF6010" w:rsidRPr="008C49A5" w:rsidRDefault="00CF6010" w:rsidP="008C49A5">
      <w:pPr>
        <w:pStyle w:val="ListParagraph"/>
        <w:numPr>
          <w:ilvl w:val="0"/>
          <w:numId w:val="30"/>
        </w:numPr>
        <w:jc w:val="both"/>
        <w:rPr>
          <w:rFonts w:cstheme="minorHAnsi"/>
          <w:b/>
          <w:bCs/>
        </w:rPr>
      </w:pPr>
      <w:r w:rsidRPr="008C49A5">
        <w:rPr>
          <w:rFonts w:cstheme="minorHAnsi"/>
          <w:b/>
          <w:bCs/>
        </w:rPr>
        <w:t>Determine if the present value is greater than or less than the current market capitalization to decide if the company is undervalued or overvalued</w:t>
      </w:r>
      <w:r w:rsidRPr="008C49A5">
        <w:rPr>
          <w:rFonts w:cstheme="minorHAnsi"/>
          <w:b/>
          <w:bCs/>
        </w:rPr>
        <w:t>. If the present value is greater than current market capitalization then the company is undervalued but if it is the other way round, then the company is overvalued. An IF statement was used to generate this column</w:t>
      </w:r>
    </w:p>
    <w:p w14:paraId="45CB7D19" w14:textId="49FEC839" w:rsidR="00CF6010" w:rsidRPr="004A4B76" w:rsidRDefault="00CF6010" w:rsidP="008C49A5">
      <w:pPr>
        <w:jc w:val="both"/>
        <w:rPr>
          <w:rFonts w:cstheme="minorHAnsi"/>
        </w:rPr>
      </w:pPr>
      <w:r w:rsidRPr="004A4B76">
        <w:rPr>
          <w:rFonts w:cstheme="minorHAnsi"/>
        </w:rPr>
        <w:t xml:space="preserve">Using the DCF method, we projected each company’s value in four years based on current GP, GPG, and sector trends. A discount rate of 10% was applied to calculate the present value. </w:t>
      </w:r>
    </w:p>
    <w:p w14:paraId="12D0A577" w14:textId="31183DD4" w:rsidR="00CF6010" w:rsidRDefault="00CF6010" w:rsidP="008C49A5">
      <w:pPr>
        <w:jc w:val="both"/>
        <w:rPr>
          <w:rFonts w:cstheme="minorHAnsi"/>
        </w:rPr>
      </w:pPr>
      <w:r w:rsidRPr="004A4B76">
        <w:rPr>
          <w:rFonts w:cstheme="minorHAnsi"/>
        </w:rPr>
        <w:t>The table below shows the valuation model result in predicting the Future GP in four years and Present value of Future GP as well as company valuation (either undervalued or overvalued)</w:t>
      </w:r>
    </w:p>
    <w:p w14:paraId="0B2A8DCA" w14:textId="77777777" w:rsidR="004A4B76" w:rsidRPr="004A4B76" w:rsidRDefault="004A4B76" w:rsidP="008C49A5">
      <w:pPr>
        <w:jc w:val="both"/>
        <w:rPr>
          <w:rFonts w:cstheme="minorHAnsi"/>
        </w:rPr>
      </w:pPr>
    </w:p>
    <w:p w14:paraId="6ABE07A5" w14:textId="77777777" w:rsidR="00CF6010" w:rsidRPr="008C49A5" w:rsidRDefault="00CF6010" w:rsidP="008C49A5">
      <w:pPr>
        <w:jc w:val="both"/>
        <w:rPr>
          <w:rFonts w:cstheme="minorHAnsi"/>
          <w:b/>
          <w:bCs/>
        </w:rPr>
      </w:pPr>
    </w:p>
    <w:tbl>
      <w:tblPr>
        <w:tblStyle w:val="TableGrid"/>
        <w:tblW w:w="0" w:type="auto"/>
        <w:tblLook w:val="04A0" w:firstRow="1" w:lastRow="0" w:firstColumn="1" w:lastColumn="0" w:noHBand="0" w:noVBand="1"/>
      </w:tblPr>
      <w:tblGrid>
        <w:gridCol w:w="1197"/>
        <w:gridCol w:w="1027"/>
        <w:gridCol w:w="755"/>
        <w:gridCol w:w="730"/>
        <w:gridCol w:w="863"/>
        <w:gridCol w:w="818"/>
        <w:gridCol w:w="793"/>
        <w:gridCol w:w="774"/>
        <w:gridCol w:w="654"/>
        <w:gridCol w:w="787"/>
        <w:gridCol w:w="952"/>
      </w:tblGrid>
      <w:tr w:rsidR="00CF6010" w:rsidRPr="008C49A5" w14:paraId="7419A26D" w14:textId="77777777" w:rsidTr="00CF6010">
        <w:trPr>
          <w:trHeight w:val="290"/>
        </w:trPr>
        <w:tc>
          <w:tcPr>
            <w:tcW w:w="3320" w:type="dxa"/>
            <w:noWrap/>
            <w:hideMark/>
          </w:tcPr>
          <w:p w14:paraId="247C898D" w14:textId="77777777" w:rsidR="00CF6010" w:rsidRPr="008C49A5" w:rsidRDefault="00CF6010" w:rsidP="008C49A5">
            <w:pPr>
              <w:jc w:val="both"/>
              <w:rPr>
                <w:rFonts w:cstheme="minorHAnsi"/>
                <w:b/>
                <w:bCs/>
              </w:rPr>
            </w:pPr>
            <w:r w:rsidRPr="008C49A5">
              <w:rPr>
                <w:rFonts w:cstheme="minorHAnsi"/>
                <w:b/>
                <w:bCs/>
              </w:rPr>
              <w:t>VALUATION MODEL USING DCF</w:t>
            </w:r>
          </w:p>
        </w:tc>
        <w:tc>
          <w:tcPr>
            <w:tcW w:w="2780" w:type="dxa"/>
            <w:noWrap/>
            <w:hideMark/>
          </w:tcPr>
          <w:p w14:paraId="58B599FF" w14:textId="77777777" w:rsidR="00CF6010" w:rsidRPr="008C49A5" w:rsidRDefault="00CF6010" w:rsidP="008C49A5">
            <w:pPr>
              <w:jc w:val="both"/>
              <w:rPr>
                <w:rFonts w:cstheme="minorHAnsi"/>
                <w:b/>
                <w:bCs/>
              </w:rPr>
            </w:pPr>
            <w:r w:rsidRPr="008C49A5">
              <w:rPr>
                <w:rFonts w:cstheme="minorHAnsi"/>
                <w:b/>
                <w:bCs/>
              </w:rPr>
              <w:t> </w:t>
            </w:r>
          </w:p>
        </w:tc>
        <w:tc>
          <w:tcPr>
            <w:tcW w:w="1920" w:type="dxa"/>
            <w:noWrap/>
            <w:hideMark/>
          </w:tcPr>
          <w:p w14:paraId="49E1B92E" w14:textId="77777777" w:rsidR="00CF6010" w:rsidRPr="008C49A5" w:rsidRDefault="00CF6010" w:rsidP="008C49A5">
            <w:pPr>
              <w:jc w:val="both"/>
              <w:rPr>
                <w:rFonts w:cstheme="minorHAnsi"/>
                <w:b/>
                <w:bCs/>
              </w:rPr>
            </w:pPr>
          </w:p>
        </w:tc>
        <w:tc>
          <w:tcPr>
            <w:tcW w:w="1840" w:type="dxa"/>
            <w:noWrap/>
            <w:hideMark/>
          </w:tcPr>
          <w:p w14:paraId="738A08FA" w14:textId="77777777" w:rsidR="00CF6010" w:rsidRPr="008C49A5" w:rsidRDefault="00CF6010" w:rsidP="008C49A5">
            <w:pPr>
              <w:jc w:val="both"/>
              <w:rPr>
                <w:rFonts w:cstheme="minorHAnsi"/>
                <w:b/>
                <w:bCs/>
              </w:rPr>
            </w:pPr>
          </w:p>
        </w:tc>
        <w:tc>
          <w:tcPr>
            <w:tcW w:w="2260" w:type="dxa"/>
            <w:noWrap/>
            <w:hideMark/>
          </w:tcPr>
          <w:p w14:paraId="118754E9" w14:textId="77777777" w:rsidR="00CF6010" w:rsidRPr="008C49A5" w:rsidRDefault="00CF6010" w:rsidP="008C49A5">
            <w:pPr>
              <w:jc w:val="both"/>
              <w:rPr>
                <w:rFonts w:cstheme="minorHAnsi"/>
                <w:b/>
                <w:bCs/>
              </w:rPr>
            </w:pPr>
          </w:p>
        </w:tc>
        <w:tc>
          <w:tcPr>
            <w:tcW w:w="2120" w:type="dxa"/>
            <w:noWrap/>
            <w:hideMark/>
          </w:tcPr>
          <w:p w14:paraId="0FD12C50" w14:textId="77777777" w:rsidR="00CF6010" w:rsidRPr="008C49A5" w:rsidRDefault="00CF6010" w:rsidP="008C49A5">
            <w:pPr>
              <w:jc w:val="both"/>
              <w:rPr>
                <w:rFonts w:cstheme="minorHAnsi"/>
                <w:b/>
                <w:bCs/>
              </w:rPr>
            </w:pPr>
          </w:p>
        </w:tc>
        <w:tc>
          <w:tcPr>
            <w:tcW w:w="2040" w:type="dxa"/>
            <w:noWrap/>
            <w:hideMark/>
          </w:tcPr>
          <w:p w14:paraId="669DBF58" w14:textId="77777777" w:rsidR="00CF6010" w:rsidRPr="008C49A5" w:rsidRDefault="00CF6010" w:rsidP="008C49A5">
            <w:pPr>
              <w:jc w:val="both"/>
              <w:rPr>
                <w:rFonts w:cstheme="minorHAnsi"/>
                <w:b/>
                <w:bCs/>
              </w:rPr>
            </w:pPr>
          </w:p>
        </w:tc>
        <w:tc>
          <w:tcPr>
            <w:tcW w:w="1980" w:type="dxa"/>
            <w:noWrap/>
            <w:hideMark/>
          </w:tcPr>
          <w:p w14:paraId="4CC27B58" w14:textId="77777777" w:rsidR="00CF6010" w:rsidRPr="008C49A5" w:rsidRDefault="00CF6010" w:rsidP="008C49A5">
            <w:pPr>
              <w:jc w:val="both"/>
              <w:rPr>
                <w:rFonts w:cstheme="minorHAnsi"/>
                <w:b/>
                <w:bCs/>
              </w:rPr>
            </w:pPr>
          </w:p>
        </w:tc>
        <w:tc>
          <w:tcPr>
            <w:tcW w:w="1600" w:type="dxa"/>
            <w:noWrap/>
            <w:hideMark/>
          </w:tcPr>
          <w:p w14:paraId="5C02B9C8" w14:textId="77777777" w:rsidR="00CF6010" w:rsidRPr="008C49A5" w:rsidRDefault="00CF6010" w:rsidP="008C49A5">
            <w:pPr>
              <w:jc w:val="both"/>
              <w:rPr>
                <w:rFonts w:cstheme="minorHAnsi"/>
                <w:b/>
                <w:bCs/>
              </w:rPr>
            </w:pPr>
          </w:p>
        </w:tc>
        <w:tc>
          <w:tcPr>
            <w:tcW w:w="2020" w:type="dxa"/>
            <w:noWrap/>
            <w:hideMark/>
          </w:tcPr>
          <w:p w14:paraId="6F9E0D30" w14:textId="77777777" w:rsidR="00CF6010" w:rsidRPr="008C49A5" w:rsidRDefault="00CF6010" w:rsidP="008C49A5">
            <w:pPr>
              <w:jc w:val="both"/>
              <w:rPr>
                <w:rFonts w:cstheme="minorHAnsi"/>
                <w:b/>
                <w:bCs/>
              </w:rPr>
            </w:pPr>
          </w:p>
        </w:tc>
        <w:tc>
          <w:tcPr>
            <w:tcW w:w="2297" w:type="dxa"/>
            <w:noWrap/>
            <w:hideMark/>
          </w:tcPr>
          <w:p w14:paraId="1D6CDAFB" w14:textId="77777777" w:rsidR="00CF6010" w:rsidRPr="008C49A5" w:rsidRDefault="00CF6010" w:rsidP="008C49A5">
            <w:pPr>
              <w:jc w:val="both"/>
              <w:rPr>
                <w:rFonts w:cstheme="minorHAnsi"/>
                <w:b/>
                <w:bCs/>
              </w:rPr>
            </w:pPr>
          </w:p>
        </w:tc>
      </w:tr>
      <w:tr w:rsidR="00CF6010" w:rsidRPr="008C49A5" w14:paraId="40147FF3" w14:textId="77777777" w:rsidTr="00CF6010">
        <w:trPr>
          <w:trHeight w:val="640"/>
        </w:trPr>
        <w:tc>
          <w:tcPr>
            <w:tcW w:w="3320" w:type="dxa"/>
            <w:noWrap/>
            <w:hideMark/>
          </w:tcPr>
          <w:p w14:paraId="1679283C" w14:textId="77777777" w:rsidR="00CF6010" w:rsidRPr="008C49A5" w:rsidRDefault="00CF6010" w:rsidP="008C49A5">
            <w:pPr>
              <w:jc w:val="both"/>
              <w:rPr>
                <w:rFonts w:cstheme="minorHAnsi"/>
                <w:b/>
                <w:bCs/>
              </w:rPr>
            </w:pPr>
            <w:r w:rsidRPr="008C49A5">
              <w:rPr>
                <w:rFonts w:cstheme="minorHAnsi"/>
                <w:b/>
                <w:bCs/>
              </w:rPr>
              <w:t>Company Name</w:t>
            </w:r>
          </w:p>
        </w:tc>
        <w:tc>
          <w:tcPr>
            <w:tcW w:w="2780" w:type="dxa"/>
            <w:noWrap/>
            <w:hideMark/>
          </w:tcPr>
          <w:p w14:paraId="41094A5B" w14:textId="77777777" w:rsidR="00CF6010" w:rsidRPr="008C49A5" w:rsidRDefault="00CF6010" w:rsidP="008C49A5">
            <w:pPr>
              <w:jc w:val="both"/>
              <w:rPr>
                <w:rFonts w:cstheme="minorHAnsi"/>
                <w:b/>
                <w:bCs/>
              </w:rPr>
            </w:pPr>
            <w:r w:rsidRPr="008C49A5">
              <w:rPr>
                <w:rFonts w:cstheme="minorHAnsi"/>
                <w:b/>
                <w:bCs/>
              </w:rPr>
              <w:t>Sector</w:t>
            </w:r>
          </w:p>
        </w:tc>
        <w:tc>
          <w:tcPr>
            <w:tcW w:w="1920" w:type="dxa"/>
            <w:hideMark/>
          </w:tcPr>
          <w:p w14:paraId="1C76669E" w14:textId="77777777" w:rsidR="00CF6010" w:rsidRPr="008C49A5" w:rsidRDefault="00CF6010" w:rsidP="008C49A5">
            <w:pPr>
              <w:jc w:val="both"/>
              <w:rPr>
                <w:rFonts w:cstheme="minorHAnsi"/>
                <w:b/>
                <w:bCs/>
              </w:rPr>
            </w:pPr>
            <w:r w:rsidRPr="008C49A5">
              <w:rPr>
                <w:rFonts w:cstheme="minorHAnsi"/>
                <w:b/>
                <w:bCs/>
              </w:rPr>
              <w:t xml:space="preserve">Market Capitalization($M) </w:t>
            </w:r>
          </w:p>
        </w:tc>
        <w:tc>
          <w:tcPr>
            <w:tcW w:w="1840" w:type="dxa"/>
            <w:hideMark/>
          </w:tcPr>
          <w:p w14:paraId="054B81E9" w14:textId="361F546C" w:rsidR="00CF6010" w:rsidRPr="008C49A5" w:rsidRDefault="00CF6010" w:rsidP="008C49A5">
            <w:pPr>
              <w:jc w:val="both"/>
              <w:rPr>
                <w:rFonts w:cstheme="minorHAnsi"/>
                <w:b/>
                <w:bCs/>
              </w:rPr>
            </w:pPr>
            <w:r w:rsidRPr="008C49A5">
              <w:rPr>
                <w:rFonts w:cstheme="minorHAnsi"/>
                <w:b/>
                <w:bCs/>
              </w:rPr>
              <w:t xml:space="preserve">Price to </w:t>
            </w:r>
            <w:r w:rsidRPr="008C49A5">
              <w:rPr>
                <w:rFonts w:cstheme="minorHAnsi"/>
                <w:b/>
                <w:bCs/>
              </w:rPr>
              <w:t>Earnings</w:t>
            </w:r>
            <w:r w:rsidRPr="008C49A5">
              <w:rPr>
                <w:rFonts w:cstheme="minorHAnsi"/>
                <w:b/>
                <w:bCs/>
              </w:rPr>
              <w:t xml:space="preserve"> Ratio (P/E)</w:t>
            </w:r>
          </w:p>
        </w:tc>
        <w:tc>
          <w:tcPr>
            <w:tcW w:w="2260" w:type="dxa"/>
            <w:hideMark/>
          </w:tcPr>
          <w:p w14:paraId="3CC37833" w14:textId="77777777" w:rsidR="00CF6010" w:rsidRPr="008C49A5" w:rsidRDefault="00CF6010" w:rsidP="008C49A5">
            <w:pPr>
              <w:jc w:val="both"/>
              <w:rPr>
                <w:rFonts w:cstheme="minorHAnsi"/>
                <w:b/>
                <w:bCs/>
              </w:rPr>
            </w:pPr>
            <w:r w:rsidRPr="008C49A5">
              <w:rPr>
                <w:rFonts w:cstheme="minorHAnsi"/>
                <w:b/>
                <w:bCs/>
              </w:rPr>
              <w:t>Price to Sales Ratio (P/S)</w:t>
            </w:r>
          </w:p>
        </w:tc>
        <w:tc>
          <w:tcPr>
            <w:tcW w:w="2120" w:type="dxa"/>
            <w:noWrap/>
            <w:hideMark/>
          </w:tcPr>
          <w:p w14:paraId="31E70AFA" w14:textId="77777777" w:rsidR="00CF6010" w:rsidRPr="008C49A5" w:rsidRDefault="00CF6010" w:rsidP="008C49A5">
            <w:pPr>
              <w:jc w:val="both"/>
              <w:rPr>
                <w:rFonts w:cstheme="minorHAnsi"/>
                <w:b/>
                <w:bCs/>
              </w:rPr>
            </w:pPr>
            <w:r w:rsidRPr="008C49A5">
              <w:rPr>
                <w:rFonts w:cstheme="minorHAnsi"/>
                <w:b/>
                <w:bCs/>
              </w:rPr>
              <w:t>Gross Profit (GP) ($M)</w:t>
            </w:r>
          </w:p>
        </w:tc>
        <w:tc>
          <w:tcPr>
            <w:tcW w:w="2040" w:type="dxa"/>
            <w:hideMark/>
          </w:tcPr>
          <w:p w14:paraId="079CF97B" w14:textId="77777777" w:rsidR="00CF6010" w:rsidRPr="008C49A5" w:rsidRDefault="00CF6010" w:rsidP="008C49A5">
            <w:pPr>
              <w:jc w:val="both"/>
              <w:rPr>
                <w:rFonts w:cstheme="minorHAnsi"/>
                <w:b/>
                <w:bCs/>
              </w:rPr>
            </w:pPr>
            <w:r w:rsidRPr="008C49A5">
              <w:rPr>
                <w:rFonts w:cstheme="minorHAnsi"/>
                <w:b/>
                <w:bCs/>
              </w:rPr>
              <w:t>Gross Profit Growth (GPG) (%)</w:t>
            </w:r>
          </w:p>
        </w:tc>
        <w:tc>
          <w:tcPr>
            <w:tcW w:w="1980" w:type="dxa"/>
            <w:hideMark/>
          </w:tcPr>
          <w:p w14:paraId="2C1BA34D" w14:textId="77777777" w:rsidR="00CF6010" w:rsidRPr="008C49A5" w:rsidRDefault="00CF6010" w:rsidP="008C49A5">
            <w:pPr>
              <w:jc w:val="both"/>
              <w:rPr>
                <w:rFonts w:cstheme="minorHAnsi"/>
                <w:b/>
                <w:bCs/>
              </w:rPr>
            </w:pPr>
            <w:r w:rsidRPr="008C49A5">
              <w:rPr>
                <w:rFonts w:cstheme="minorHAnsi"/>
                <w:b/>
                <w:bCs/>
              </w:rPr>
              <w:t>Future GP (4 Years) ($M)</w:t>
            </w:r>
          </w:p>
        </w:tc>
        <w:tc>
          <w:tcPr>
            <w:tcW w:w="1600" w:type="dxa"/>
            <w:hideMark/>
          </w:tcPr>
          <w:p w14:paraId="3B547C9E" w14:textId="77777777" w:rsidR="00CF6010" w:rsidRPr="008C49A5" w:rsidRDefault="00CF6010" w:rsidP="008C49A5">
            <w:pPr>
              <w:jc w:val="both"/>
              <w:rPr>
                <w:rFonts w:cstheme="minorHAnsi"/>
                <w:b/>
                <w:bCs/>
              </w:rPr>
            </w:pPr>
            <w:r w:rsidRPr="008C49A5">
              <w:rPr>
                <w:rFonts w:cstheme="minorHAnsi"/>
                <w:b/>
                <w:bCs/>
              </w:rPr>
              <w:t>Discount Rate (%)</w:t>
            </w:r>
          </w:p>
        </w:tc>
        <w:tc>
          <w:tcPr>
            <w:tcW w:w="2020" w:type="dxa"/>
            <w:hideMark/>
          </w:tcPr>
          <w:p w14:paraId="333D835B" w14:textId="77777777" w:rsidR="00CF6010" w:rsidRPr="008C49A5" w:rsidRDefault="00CF6010" w:rsidP="008C49A5">
            <w:pPr>
              <w:jc w:val="both"/>
              <w:rPr>
                <w:rFonts w:cstheme="minorHAnsi"/>
                <w:b/>
                <w:bCs/>
              </w:rPr>
            </w:pPr>
            <w:r w:rsidRPr="008C49A5">
              <w:rPr>
                <w:rFonts w:cstheme="minorHAnsi"/>
                <w:b/>
                <w:bCs/>
              </w:rPr>
              <w:t>Present Value Using DCF ($M)</w:t>
            </w:r>
          </w:p>
        </w:tc>
        <w:tc>
          <w:tcPr>
            <w:tcW w:w="2297" w:type="dxa"/>
            <w:hideMark/>
          </w:tcPr>
          <w:p w14:paraId="59E4F83F" w14:textId="77777777" w:rsidR="00CF6010" w:rsidRPr="008C49A5" w:rsidRDefault="00CF6010" w:rsidP="008C49A5">
            <w:pPr>
              <w:jc w:val="both"/>
              <w:rPr>
                <w:rFonts w:cstheme="minorHAnsi"/>
                <w:b/>
                <w:bCs/>
              </w:rPr>
            </w:pPr>
            <w:r w:rsidRPr="008C49A5">
              <w:rPr>
                <w:rFonts w:cstheme="minorHAnsi"/>
                <w:b/>
                <w:bCs/>
              </w:rPr>
              <w:t>Undervalued/Overvalued</w:t>
            </w:r>
          </w:p>
        </w:tc>
      </w:tr>
      <w:tr w:rsidR="00CF6010" w:rsidRPr="008C49A5" w14:paraId="67E1AB90" w14:textId="77777777" w:rsidTr="00CF6010">
        <w:trPr>
          <w:trHeight w:val="290"/>
        </w:trPr>
        <w:tc>
          <w:tcPr>
            <w:tcW w:w="3320" w:type="dxa"/>
            <w:noWrap/>
            <w:hideMark/>
          </w:tcPr>
          <w:p w14:paraId="6D7D58CD" w14:textId="77777777" w:rsidR="00CF6010" w:rsidRPr="008C49A5" w:rsidRDefault="00CF6010" w:rsidP="008C49A5">
            <w:pPr>
              <w:jc w:val="both"/>
              <w:rPr>
                <w:rFonts w:cstheme="minorHAnsi"/>
                <w:b/>
                <w:bCs/>
              </w:rPr>
            </w:pPr>
            <w:r w:rsidRPr="008C49A5">
              <w:rPr>
                <w:rFonts w:cstheme="minorHAnsi"/>
                <w:b/>
                <w:bCs/>
              </w:rPr>
              <w:t>Atlanticus Holdings Corp</w:t>
            </w:r>
          </w:p>
        </w:tc>
        <w:tc>
          <w:tcPr>
            <w:tcW w:w="2780" w:type="dxa"/>
            <w:noWrap/>
            <w:hideMark/>
          </w:tcPr>
          <w:p w14:paraId="7CC4B445" w14:textId="77777777" w:rsidR="00CF6010" w:rsidRPr="008C49A5" w:rsidRDefault="00CF6010" w:rsidP="008C49A5">
            <w:pPr>
              <w:jc w:val="both"/>
              <w:rPr>
                <w:rFonts w:cstheme="minorHAnsi"/>
                <w:b/>
                <w:bCs/>
              </w:rPr>
            </w:pPr>
            <w:r w:rsidRPr="008C49A5">
              <w:rPr>
                <w:rFonts w:cstheme="minorHAnsi"/>
                <w:b/>
                <w:bCs/>
              </w:rPr>
              <w:t>FINANCIAL</w:t>
            </w:r>
          </w:p>
        </w:tc>
        <w:tc>
          <w:tcPr>
            <w:tcW w:w="1920" w:type="dxa"/>
            <w:noWrap/>
            <w:hideMark/>
          </w:tcPr>
          <w:p w14:paraId="2144A864" w14:textId="77777777" w:rsidR="00CF6010" w:rsidRPr="008C49A5" w:rsidRDefault="00CF6010" w:rsidP="008C49A5">
            <w:pPr>
              <w:jc w:val="both"/>
              <w:rPr>
                <w:rFonts w:cstheme="minorHAnsi"/>
                <w:b/>
                <w:bCs/>
              </w:rPr>
            </w:pPr>
            <w:r w:rsidRPr="008C49A5">
              <w:rPr>
                <w:rFonts w:cstheme="minorHAnsi"/>
                <w:b/>
                <w:bCs/>
              </w:rPr>
              <w:t>492.58</w:t>
            </w:r>
          </w:p>
        </w:tc>
        <w:tc>
          <w:tcPr>
            <w:tcW w:w="1840" w:type="dxa"/>
            <w:noWrap/>
            <w:hideMark/>
          </w:tcPr>
          <w:p w14:paraId="61FCB867" w14:textId="77777777" w:rsidR="00CF6010" w:rsidRPr="008C49A5" w:rsidRDefault="00CF6010" w:rsidP="008C49A5">
            <w:pPr>
              <w:jc w:val="both"/>
              <w:rPr>
                <w:rFonts w:cstheme="minorHAnsi"/>
                <w:b/>
                <w:bCs/>
              </w:rPr>
            </w:pPr>
            <w:r w:rsidRPr="008C49A5">
              <w:rPr>
                <w:rFonts w:cstheme="minorHAnsi"/>
                <w:b/>
                <w:bCs/>
              </w:rPr>
              <w:t>7.84</w:t>
            </w:r>
          </w:p>
        </w:tc>
        <w:tc>
          <w:tcPr>
            <w:tcW w:w="2260" w:type="dxa"/>
            <w:noWrap/>
            <w:hideMark/>
          </w:tcPr>
          <w:p w14:paraId="373B2A79" w14:textId="77777777" w:rsidR="00CF6010" w:rsidRPr="008C49A5" w:rsidRDefault="00CF6010" w:rsidP="008C49A5">
            <w:pPr>
              <w:jc w:val="both"/>
              <w:rPr>
                <w:rFonts w:cstheme="minorHAnsi"/>
                <w:b/>
                <w:bCs/>
              </w:rPr>
            </w:pPr>
            <w:r w:rsidRPr="008C49A5">
              <w:rPr>
                <w:rFonts w:cstheme="minorHAnsi"/>
                <w:b/>
                <w:bCs/>
              </w:rPr>
              <w:t>0.47</w:t>
            </w:r>
          </w:p>
        </w:tc>
        <w:tc>
          <w:tcPr>
            <w:tcW w:w="2120" w:type="dxa"/>
            <w:noWrap/>
            <w:hideMark/>
          </w:tcPr>
          <w:p w14:paraId="73D942BD" w14:textId="77777777" w:rsidR="00CF6010" w:rsidRPr="008C49A5" w:rsidRDefault="00CF6010" w:rsidP="008C49A5">
            <w:pPr>
              <w:jc w:val="both"/>
              <w:rPr>
                <w:rFonts w:cstheme="minorHAnsi"/>
                <w:b/>
                <w:bCs/>
              </w:rPr>
            </w:pPr>
            <w:r w:rsidRPr="008C49A5">
              <w:rPr>
                <w:rFonts w:cstheme="minorHAnsi"/>
                <w:b/>
                <w:bCs/>
              </w:rPr>
              <w:t>1,079.67</w:t>
            </w:r>
          </w:p>
        </w:tc>
        <w:tc>
          <w:tcPr>
            <w:tcW w:w="2040" w:type="dxa"/>
            <w:noWrap/>
            <w:hideMark/>
          </w:tcPr>
          <w:p w14:paraId="70E2443E" w14:textId="77777777" w:rsidR="00CF6010" w:rsidRPr="008C49A5" w:rsidRDefault="00CF6010" w:rsidP="008C49A5">
            <w:pPr>
              <w:jc w:val="both"/>
              <w:rPr>
                <w:rFonts w:cstheme="minorHAnsi"/>
                <w:b/>
                <w:bCs/>
              </w:rPr>
            </w:pPr>
            <w:r w:rsidRPr="008C49A5">
              <w:rPr>
                <w:rFonts w:cstheme="minorHAnsi"/>
                <w:b/>
                <w:bCs/>
              </w:rPr>
              <w:t>2.57</w:t>
            </w:r>
          </w:p>
        </w:tc>
        <w:tc>
          <w:tcPr>
            <w:tcW w:w="1980" w:type="dxa"/>
            <w:noWrap/>
            <w:hideMark/>
          </w:tcPr>
          <w:p w14:paraId="3360FAD5" w14:textId="77777777" w:rsidR="00CF6010" w:rsidRPr="008C49A5" w:rsidRDefault="00CF6010" w:rsidP="008C49A5">
            <w:pPr>
              <w:jc w:val="both"/>
              <w:rPr>
                <w:rFonts w:cstheme="minorHAnsi"/>
                <w:b/>
                <w:bCs/>
              </w:rPr>
            </w:pPr>
            <w:r w:rsidRPr="008C49A5">
              <w:rPr>
                <w:rFonts w:cstheme="minorHAnsi"/>
                <w:b/>
                <w:bCs/>
              </w:rPr>
              <w:t>1,195.01</w:t>
            </w:r>
          </w:p>
        </w:tc>
        <w:tc>
          <w:tcPr>
            <w:tcW w:w="1600" w:type="dxa"/>
            <w:noWrap/>
            <w:hideMark/>
          </w:tcPr>
          <w:p w14:paraId="2A837E0B" w14:textId="77777777" w:rsidR="00CF6010" w:rsidRPr="008C49A5" w:rsidRDefault="00CF6010" w:rsidP="008C49A5">
            <w:pPr>
              <w:jc w:val="both"/>
              <w:rPr>
                <w:rFonts w:cstheme="minorHAnsi"/>
                <w:b/>
                <w:bCs/>
              </w:rPr>
            </w:pPr>
            <w:r w:rsidRPr="008C49A5">
              <w:rPr>
                <w:rFonts w:cstheme="minorHAnsi"/>
                <w:b/>
                <w:bCs/>
              </w:rPr>
              <w:t>10.00</w:t>
            </w:r>
          </w:p>
        </w:tc>
        <w:tc>
          <w:tcPr>
            <w:tcW w:w="2020" w:type="dxa"/>
            <w:noWrap/>
            <w:hideMark/>
          </w:tcPr>
          <w:p w14:paraId="11873C79" w14:textId="77777777" w:rsidR="00CF6010" w:rsidRPr="008C49A5" w:rsidRDefault="00CF6010" w:rsidP="008C49A5">
            <w:pPr>
              <w:jc w:val="both"/>
              <w:rPr>
                <w:rFonts w:cstheme="minorHAnsi"/>
                <w:b/>
                <w:bCs/>
              </w:rPr>
            </w:pPr>
            <w:r w:rsidRPr="008C49A5">
              <w:rPr>
                <w:rFonts w:cstheme="minorHAnsi"/>
                <w:b/>
                <w:bCs/>
              </w:rPr>
              <w:t>816.21</w:t>
            </w:r>
          </w:p>
        </w:tc>
        <w:tc>
          <w:tcPr>
            <w:tcW w:w="2297" w:type="dxa"/>
            <w:noWrap/>
            <w:hideMark/>
          </w:tcPr>
          <w:p w14:paraId="0C27A495" w14:textId="77777777" w:rsidR="00CF6010" w:rsidRPr="008C49A5" w:rsidRDefault="00CF6010" w:rsidP="008C49A5">
            <w:pPr>
              <w:jc w:val="both"/>
              <w:rPr>
                <w:rFonts w:cstheme="minorHAnsi"/>
                <w:b/>
                <w:bCs/>
              </w:rPr>
            </w:pPr>
            <w:r w:rsidRPr="008C49A5">
              <w:rPr>
                <w:rFonts w:cstheme="minorHAnsi"/>
                <w:b/>
                <w:bCs/>
              </w:rPr>
              <w:t>Undervalued</w:t>
            </w:r>
          </w:p>
        </w:tc>
      </w:tr>
      <w:tr w:rsidR="00CF6010" w:rsidRPr="008C49A5" w14:paraId="28806CAE" w14:textId="77777777" w:rsidTr="00CF6010">
        <w:trPr>
          <w:trHeight w:val="320"/>
        </w:trPr>
        <w:tc>
          <w:tcPr>
            <w:tcW w:w="3320" w:type="dxa"/>
            <w:noWrap/>
            <w:hideMark/>
          </w:tcPr>
          <w:p w14:paraId="577F9F6F" w14:textId="77777777" w:rsidR="00CF6010" w:rsidRPr="008C49A5" w:rsidRDefault="00CF6010" w:rsidP="008C49A5">
            <w:pPr>
              <w:jc w:val="both"/>
              <w:rPr>
                <w:rFonts w:cstheme="minorHAnsi"/>
                <w:b/>
                <w:bCs/>
              </w:rPr>
            </w:pPr>
            <w:r w:rsidRPr="008C49A5">
              <w:rPr>
                <w:rFonts w:cstheme="minorHAnsi"/>
                <w:b/>
                <w:bCs/>
              </w:rPr>
              <w:t>Diebold Nixdorf Inc</w:t>
            </w:r>
          </w:p>
        </w:tc>
        <w:tc>
          <w:tcPr>
            <w:tcW w:w="2780" w:type="dxa"/>
            <w:noWrap/>
            <w:hideMark/>
          </w:tcPr>
          <w:p w14:paraId="56144349" w14:textId="77777777" w:rsidR="00CF6010" w:rsidRPr="008C49A5" w:rsidRDefault="00CF6010" w:rsidP="008C49A5">
            <w:pPr>
              <w:jc w:val="both"/>
              <w:rPr>
                <w:rFonts w:cstheme="minorHAnsi"/>
                <w:b/>
                <w:bCs/>
              </w:rPr>
            </w:pPr>
            <w:r w:rsidRPr="008C49A5">
              <w:rPr>
                <w:rFonts w:cstheme="minorHAnsi"/>
                <w:b/>
                <w:bCs/>
              </w:rPr>
              <w:t>TECHNOLOGY</w:t>
            </w:r>
          </w:p>
        </w:tc>
        <w:tc>
          <w:tcPr>
            <w:tcW w:w="1920" w:type="dxa"/>
            <w:noWrap/>
            <w:hideMark/>
          </w:tcPr>
          <w:p w14:paraId="626618D1" w14:textId="77777777" w:rsidR="00CF6010" w:rsidRPr="008C49A5" w:rsidRDefault="00CF6010" w:rsidP="008C49A5">
            <w:pPr>
              <w:jc w:val="both"/>
              <w:rPr>
                <w:rFonts w:cstheme="minorHAnsi"/>
                <w:b/>
                <w:bCs/>
              </w:rPr>
            </w:pPr>
            <w:r w:rsidRPr="008C49A5">
              <w:rPr>
                <w:rFonts w:cstheme="minorHAnsi"/>
                <w:b/>
                <w:bCs/>
              </w:rPr>
              <w:t>3,390.00</w:t>
            </w:r>
          </w:p>
        </w:tc>
        <w:tc>
          <w:tcPr>
            <w:tcW w:w="1840" w:type="dxa"/>
            <w:noWrap/>
            <w:hideMark/>
          </w:tcPr>
          <w:p w14:paraId="01D2E6D7" w14:textId="77777777" w:rsidR="00CF6010" w:rsidRPr="008C49A5" w:rsidRDefault="00CF6010" w:rsidP="008C49A5">
            <w:pPr>
              <w:jc w:val="both"/>
              <w:rPr>
                <w:rFonts w:cstheme="minorHAnsi"/>
                <w:b/>
                <w:bCs/>
              </w:rPr>
            </w:pPr>
            <w:r w:rsidRPr="008C49A5">
              <w:rPr>
                <w:rFonts w:cstheme="minorHAnsi"/>
                <w:b/>
                <w:bCs/>
              </w:rPr>
              <w:t>0.88</w:t>
            </w:r>
          </w:p>
        </w:tc>
        <w:tc>
          <w:tcPr>
            <w:tcW w:w="2260" w:type="dxa"/>
            <w:noWrap/>
            <w:hideMark/>
          </w:tcPr>
          <w:p w14:paraId="12EE8293" w14:textId="77777777" w:rsidR="00CF6010" w:rsidRPr="008C49A5" w:rsidRDefault="00CF6010" w:rsidP="008C49A5">
            <w:pPr>
              <w:jc w:val="both"/>
              <w:rPr>
                <w:rFonts w:cstheme="minorHAnsi"/>
                <w:b/>
                <w:bCs/>
              </w:rPr>
            </w:pPr>
            <w:r w:rsidRPr="008C49A5">
              <w:rPr>
                <w:rFonts w:cstheme="minorHAnsi"/>
                <w:b/>
                <w:bCs/>
              </w:rPr>
              <w:t>0.34</w:t>
            </w:r>
          </w:p>
        </w:tc>
        <w:tc>
          <w:tcPr>
            <w:tcW w:w="2120" w:type="dxa"/>
            <w:noWrap/>
            <w:hideMark/>
          </w:tcPr>
          <w:p w14:paraId="63140B48" w14:textId="77777777" w:rsidR="00CF6010" w:rsidRPr="008C49A5" w:rsidRDefault="00CF6010" w:rsidP="008C49A5">
            <w:pPr>
              <w:jc w:val="both"/>
              <w:rPr>
                <w:rFonts w:cstheme="minorHAnsi"/>
                <w:b/>
                <w:bCs/>
              </w:rPr>
            </w:pPr>
            <w:r w:rsidRPr="008C49A5">
              <w:rPr>
                <w:rFonts w:cstheme="minorHAnsi"/>
                <w:b/>
                <w:bCs/>
              </w:rPr>
              <w:t>891.60</w:t>
            </w:r>
          </w:p>
        </w:tc>
        <w:tc>
          <w:tcPr>
            <w:tcW w:w="2040" w:type="dxa"/>
            <w:noWrap/>
            <w:hideMark/>
          </w:tcPr>
          <w:p w14:paraId="1301BDBF" w14:textId="77777777" w:rsidR="00CF6010" w:rsidRPr="008C49A5" w:rsidRDefault="00CF6010" w:rsidP="008C49A5">
            <w:pPr>
              <w:jc w:val="both"/>
              <w:rPr>
                <w:rFonts w:cstheme="minorHAnsi"/>
                <w:b/>
                <w:bCs/>
              </w:rPr>
            </w:pPr>
            <w:r w:rsidRPr="008C49A5">
              <w:rPr>
                <w:rFonts w:cstheme="minorHAnsi"/>
                <w:b/>
                <w:bCs/>
              </w:rPr>
              <w:t>1.76</w:t>
            </w:r>
          </w:p>
        </w:tc>
        <w:tc>
          <w:tcPr>
            <w:tcW w:w="1980" w:type="dxa"/>
            <w:noWrap/>
            <w:hideMark/>
          </w:tcPr>
          <w:p w14:paraId="44D91424" w14:textId="77777777" w:rsidR="00CF6010" w:rsidRPr="008C49A5" w:rsidRDefault="00CF6010" w:rsidP="008C49A5">
            <w:pPr>
              <w:jc w:val="both"/>
              <w:rPr>
                <w:rFonts w:cstheme="minorHAnsi"/>
                <w:b/>
                <w:bCs/>
              </w:rPr>
            </w:pPr>
            <w:r w:rsidRPr="008C49A5">
              <w:rPr>
                <w:rFonts w:cstheme="minorHAnsi"/>
                <w:b/>
                <w:bCs/>
              </w:rPr>
              <w:t>956.05</w:t>
            </w:r>
          </w:p>
        </w:tc>
        <w:tc>
          <w:tcPr>
            <w:tcW w:w="1600" w:type="dxa"/>
            <w:noWrap/>
            <w:hideMark/>
          </w:tcPr>
          <w:p w14:paraId="56E6750E" w14:textId="77777777" w:rsidR="00CF6010" w:rsidRPr="008C49A5" w:rsidRDefault="00CF6010" w:rsidP="008C49A5">
            <w:pPr>
              <w:jc w:val="both"/>
              <w:rPr>
                <w:rFonts w:cstheme="minorHAnsi"/>
                <w:b/>
                <w:bCs/>
              </w:rPr>
            </w:pPr>
            <w:r w:rsidRPr="008C49A5">
              <w:rPr>
                <w:rFonts w:cstheme="minorHAnsi"/>
                <w:b/>
                <w:bCs/>
              </w:rPr>
              <w:t>10.00</w:t>
            </w:r>
          </w:p>
        </w:tc>
        <w:tc>
          <w:tcPr>
            <w:tcW w:w="2020" w:type="dxa"/>
            <w:noWrap/>
            <w:hideMark/>
          </w:tcPr>
          <w:p w14:paraId="62257AF7" w14:textId="77777777" w:rsidR="00CF6010" w:rsidRPr="008C49A5" w:rsidRDefault="00CF6010" w:rsidP="008C49A5">
            <w:pPr>
              <w:jc w:val="both"/>
              <w:rPr>
                <w:rFonts w:cstheme="minorHAnsi"/>
                <w:b/>
                <w:bCs/>
              </w:rPr>
            </w:pPr>
            <w:r w:rsidRPr="008C49A5">
              <w:rPr>
                <w:rFonts w:cstheme="minorHAnsi"/>
                <w:b/>
                <w:bCs/>
              </w:rPr>
              <w:t>652.99</w:t>
            </w:r>
          </w:p>
        </w:tc>
        <w:tc>
          <w:tcPr>
            <w:tcW w:w="2297" w:type="dxa"/>
            <w:noWrap/>
            <w:hideMark/>
          </w:tcPr>
          <w:p w14:paraId="52EB509D" w14:textId="77777777" w:rsidR="00CF6010" w:rsidRPr="008C49A5" w:rsidRDefault="00CF6010" w:rsidP="008C49A5">
            <w:pPr>
              <w:jc w:val="both"/>
              <w:rPr>
                <w:rFonts w:cstheme="minorHAnsi"/>
                <w:b/>
                <w:bCs/>
              </w:rPr>
            </w:pPr>
            <w:r w:rsidRPr="008C49A5">
              <w:rPr>
                <w:rFonts w:cstheme="minorHAnsi"/>
                <w:b/>
                <w:bCs/>
              </w:rPr>
              <w:t>Overvalued</w:t>
            </w:r>
          </w:p>
        </w:tc>
      </w:tr>
      <w:tr w:rsidR="00CF6010" w:rsidRPr="008C49A5" w14:paraId="2702D8F2" w14:textId="77777777" w:rsidTr="00CF6010">
        <w:trPr>
          <w:trHeight w:val="290"/>
        </w:trPr>
        <w:tc>
          <w:tcPr>
            <w:tcW w:w="3320" w:type="dxa"/>
            <w:noWrap/>
            <w:hideMark/>
          </w:tcPr>
          <w:p w14:paraId="61D61A4A" w14:textId="77777777" w:rsidR="00CF6010" w:rsidRPr="008C49A5" w:rsidRDefault="00CF6010" w:rsidP="008C49A5">
            <w:pPr>
              <w:jc w:val="both"/>
              <w:rPr>
                <w:rFonts w:cstheme="minorHAnsi"/>
                <w:b/>
                <w:bCs/>
              </w:rPr>
            </w:pPr>
            <w:r w:rsidRPr="008C49A5">
              <w:rPr>
                <w:rFonts w:cstheme="minorHAnsi"/>
                <w:b/>
                <w:bCs/>
              </w:rPr>
              <w:lastRenderedPageBreak/>
              <w:t>Ready Capital Corp</w:t>
            </w:r>
          </w:p>
        </w:tc>
        <w:tc>
          <w:tcPr>
            <w:tcW w:w="2780" w:type="dxa"/>
            <w:noWrap/>
            <w:hideMark/>
          </w:tcPr>
          <w:p w14:paraId="6DBB62DF" w14:textId="77777777" w:rsidR="00CF6010" w:rsidRPr="008C49A5" w:rsidRDefault="00CF6010" w:rsidP="008C49A5">
            <w:pPr>
              <w:jc w:val="both"/>
              <w:rPr>
                <w:rFonts w:cstheme="minorHAnsi"/>
                <w:b/>
                <w:bCs/>
              </w:rPr>
            </w:pPr>
            <w:r w:rsidRPr="008C49A5">
              <w:rPr>
                <w:rFonts w:cstheme="minorHAnsi"/>
                <w:b/>
                <w:bCs/>
              </w:rPr>
              <w:t xml:space="preserve">REAL ESTATE </w:t>
            </w:r>
          </w:p>
        </w:tc>
        <w:tc>
          <w:tcPr>
            <w:tcW w:w="1920" w:type="dxa"/>
            <w:noWrap/>
            <w:hideMark/>
          </w:tcPr>
          <w:p w14:paraId="48CCE49F" w14:textId="77777777" w:rsidR="00CF6010" w:rsidRPr="008C49A5" w:rsidRDefault="00CF6010" w:rsidP="008C49A5">
            <w:pPr>
              <w:jc w:val="both"/>
              <w:rPr>
                <w:rFonts w:cstheme="minorHAnsi"/>
                <w:b/>
                <w:bCs/>
              </w:rPr>
            </w:pPr>
            <w:r w:rsidRPr="008C49A5">
              <w:rPr>
                <w:rFonts w:cstheme="minorHAnsi"/>
                <w:b/>
                <w:bCs/>
              </w:rPr>
              <w:t>1,570.00</w:t>
            </w:r>
          </w:p>
        </w:tc>
        <w:tc>
          <w:tcPr>
            <w:tcW w:w="1840" w:type="dxa"/>
            <w:noWrap/>
            <w:hideMark/>
          </w:tcPr>
          <w:p w14:paraId="776B78E8" w14:textId="77777777" w:rsidR="00CF6010" w:rsidRPr="008C49A5" w:rsidRDefault="00CF6010" w:rsidP="008C49A5">
            <w:pPr>
              <w:jc w:val="both"/>
              <w:rPr>
                <w:rFonts w:cstheme="minorHAnsi"/>
                <w:b/>
                <w:bCs/>
              </w:rPr>
            </w:pPr>
            <w:r w:rsidRPr="008C49A5">
              <w:rPr>
                <w:rFonts w:cstheme="minorHAnsi"/>
                <w:b/>
                <w:bCs/>
              </w:rPr>
              <w:t>5.87</w:t>
            </w:r>
          </w:p>
        </w:tc>
        <w:tc>
          <w:tcPr>
            <w:tcW w:w="2260" w:type="dxa"/>
            <w:noWrap/>
            <w:hideMark/>
          </w:tcPr>
          <w:p w14:paraId="710A519E" w14:textId="77777777" w:rsidR="00CF6010" w:rsidRPr="008C49A5" w:rsidRDefault="00CF6010" w:rsidP="008C49A5">
            <w:pPr>
              <w:jc w:val="both"/>
              <w:rPr>
                <w:rFonts w:cstheme="minorHAnsi"/>
                <w:b/>
                <w:bCs/>
              </w:rPr>
            </w:pPr>
            <w:r w:rsidRPr="008C49A5">
              <w:rPr>
                <w:rFonts w:cstheme="minorHAnsi"/>
                <w:b/>
                <w:bCs/>
              </w:rPr>
              <w:t>1.31</w:t>
            </w:r>
          </w:p>
        </w:tc>
        <w:tc>
          <w:tcPr>
            <w:tcW w:w="2120" w:type="dxa"/>
            <w:noWrap/>
            <w:hideMark/>
          </w:tcPr>
          <w:p w14:paraId="33EA059F" w14:textId="77777777" w:rsidR="00CF6010" w:rsidRPr="008C49A5" w:rsidRDefault="00CF6010" w:rsidP="008C49A5">
            <w:pPr>
              <w:jc w:val="both"/>
              <w:rPr>
                <w:rFonts w:cstheme="minorHAnsi"/>
                <w:b/>
                <w:bCs/>
              </w:rPr>
            </w:pPr>
            <w:r w:rsidRPr="008C49A5">
              <w:rPr>
                <w:rFonts w:cstheme="minorHAnsi"/>
                <w:b/>
                <w:bCs/>
              </w:rPr>
              <w:t>1,089.31</w:t>
            </w:r>
          </w:p>
        </w:tc>
        <w:tc>
          <w:tcPr>
            <w:tcW w:w="2040" w:type="dxa"/>
            <w:noWrap/>
            <w:hideMark/>
          </w:tcPr>
          <w:p w14:paraId="33E67BE8" w14:textId="77777777" w:rsidR="00CF6010" w:rsidRPr="008C49A5" w:rsidRDefault="00CF6010" w:rsidP="008C49A5">
            <w:pPr>
              <w:jc w:val="both"/>
              <w:rPr>
                <w:rFonts w:cstheme="minorHAnsi"/>
                <w:b/>
                <w:bCs/>
              </w:rPr>
            </w:pPr>
            <w:r w:rsidRPr="008C49A5">
              <w:rPr>
                <w:rFonts w:cstheme="minorHAnsi"/>
                <w:b/>
                <w:bCs/>
              </w:rPr>
              <w:t>3.73</w:t>
            </w:r>
          </w:p>
        </w:tc>
        <w:tc>
          <w:tcPr>
            <w:tcW w:w="1980" w:type="dxa"/>
            <w:noWrap/>
            <w:hideMark/>
          </w:tcPr>
          <w:p w14:paraId="2C2C3046" w14:textId="77777777" w:rsidR="00CF6010" w:rsidRPr="008C49A5" w:rsidRDefault="00CF6010" w:rsidP="008C49A5">
            <w:pPr>
              <w:jc w:val="both"/>
              <w:rPr>
                <w:rFonts w:cstheme="minorHAnsi"/>
                <w:b/>
                <w:bCs/>
              </w:rPr>
            </w:pPr>
            <w:r w:rsidRPr="008C49A5">
              <w:rPr>
                <w:rFonts w:cstheme="minorHAnsi"/>
                <w:b/>
                <w:bCs/>
              </w:rPr>
              <w:t>1,261.16</w:t>
            </w:r>
          </w:p>
        </w:tc>
        <w:tc>
          <w:tcPr>
            <w:tcW w:w="1600" w:type="dxa"/>
            <w:noWrap/>
            <w:hideMark/>
          </w:tcPr>
          <w:p w14:paraId="3644C1BA" w14:textId="77777777" w:rsidR="00CF6010" w:rsidRPr="008C49A5" w:rsidRDefault="00CF6010" w:rsidP="008C49A5">
            <w:pPr>
              <w:jc w:val="both"/>
              <w:rPr>
                <w:rFonts w:cstheme="minorHAnsi"/>
                <w:b/>
                <w:bCs/>
              </w:rPr>
            </w:pPr>
            <w:r w:rsidRPr="008C49A5">
              <w:rPr>
                <w:rFonts w:cstheme="minorHAnsi"/>
                <w:b/>
                <w:bCs/>
              </w:rPr>
              <w:t>10.00</w:t>
            </w:r>
          </w:p>
        </w:tc>
        <w:tc>
          <w:tcPr>
            <w:tcW w:w="2020" w:type="dxa"/>
            <w:noWrap/>
            <w:hideMark/>
          </w:tcPr>
          <w:p w14:paraId="06C8BD50" w14:textId="77777777" w:rsidR="00CF6010" w:rsidRPr="008C49A5" w:rsidRDefault="00CF6010" w:rsidP="008C49A5">
            <w:pPr>
              <w:jc w:val="both"/>
              <w:rPr>
                <w:rFonts w:cstheme="minorHAnsi"/>
                <w:b/>
                <w:bCs/>
              </w:rPr>
            </w:pPr>
            <w:r w:rsidRPr="008C49A5">
              <w:rPr>
                <w:rFonts w:cstheme="minorHAnsi"/>
                <w:b/>
                <w:bCs/>
              </w:rPr>
              <w:t>861.39</w:t>
            </w:r>
          </w:p>
        </w:tc>
        <w:tc>
          <w:tcPr>
            <w:tcW w:w="2297" w:type="dxa"/>
            <w:noWrap/>
            <w:hideMark/>
          </w:tcPr>
          <w:p w14:paraId="5E135724" w14:textId="77777777" w:rsidR="00CF6010" w:rsidRPr="008C49A5" w:rsidRDefault="00CF6010" w:rsidP="008C49A5">
            <w:pPr>
              <w:jc w:val="both"/>
              <w:rPr>
                <w:rFonts w:cstheme="minorHAnsi"/>
                <w:b/>
                <w:bCs/>
              </w:rPr>
            </w:pPr>
            <w:r w:rsidRPr="008C49A5">
              <w:rPr>
                <w:rFonts w:cstheme="minorHAnsi"/>
                <w:b/>
                <w:bCs/>
              </w:rPr>
              <w:t>Overvalued</w:t>
            </w:r>
          </w:p>
        </w:tc>
      </w:tr>
      <w:tr w:rsidR="00CF6010" w:rsidRPr="008C49A5" w14:paraId="259BD80C" w14:textId="77777777" w:rsidTr="00CF6010">
        <w:trPr>
          <w:trHeight w:val="290"/>
        </w:trPr>
        <w:tc>
          <w:tcPr>
            <w:tcW w:w="3320" w:type="dxa"/>
            <w:noWrap/>
            <w:hideMark/>
          </w:tcPr>
          <w:p w14:paraId="33497FBA" w14:textId="77777777" w:rsidR="00CF6010" w:rsidRPr="008C49A5" w:rsidRDefault="00CF6010" w:rsidP="008C49A5">
            <w:pPr>
              <w:jc w:val="both"/>
              <w:rPr>
                <w:rFonts w:cstheme="minorHAnsi"/>
                <w:b/>
                <w:bCs/>
              </w:rPr>
            </w:pPr>
            <w:r w:rsidRPr="008C49A5">
              <w:rPr>
                <w:rFonts w:cstheme="minorHAnsi"/>
                <w:b/>
                <w:bCs/>
              </w:rPr>
              <w:t>Fox Corporation</w:t>
            </w:r>
          </w:p>
        </w:tc>
        <w:tc>
          <w:tcPr>
            <w:tcW w:w="2780" w:type="dxa"/>
            <w:noWrap/>
            <w:hideMark/>
          </w:tcPr>
          <w:p w14:paraId="25B5C4CF" w14:textId="681D5B21" w:rsidR="00CF6010" w:rsidRPr="008C49A5" w:rsidRDefault="00CF6010" w:rsidP="008C49A5">
            <w:pPr>
              <w:jc w:val="both"/>
              <w:rPr>
                <w:rFonts w:cstheme="minorHAnsi"/>
                <w:b/>
                <w:bCs/>
              </w:rPr>
            </w:pPr>
            <w:r w:rsidRPr="008C49A5">
              <w:rPr>
                <w:rFonts w:cstheme="minorHAnsi"/>
                <w:b/>
                <w:bCs/>
              </w:rPr>
              <w:t>COMMUNICATION SERVICES</w:t>
            </w:r>
          </w:p>
        </w:tc>
        <w:tc>
          <w:tcPr>
            <w:tcW w:w="1920" w:type="dxa"/>
            <w:noWrap/>
            <w:hideMark/>
          </w:tcPr>
          <w:p w14:paraId="494C028E" w14:textId="77777777" w:rsidR="00CF6010" w:rsidRPr="008C49A5" w:rsidRDefault="00CF6010" w:rsidP="008C49A5">
            <w:pPr>
              <w:jc w:val="both"/>
              <w:rPr>
                <w:rFonts w:cstheme="minorHAnsi"/>
                <w:b/>
                <w:bCs/>
              </w:rPr>
            </w:pPr>
            <w:r w:rsidRPr="008C49A5">
              <w:rPr>
                <w:rFonts w:cstheme="minorHAnsi"/>
                <w:b/>
                <w:bCs/>
              </w:rPr>
              <w:t>17,220.00</w:t>
            </w:r>
          </w:p>
        </w:tc>
        <w:tc>
          <w:tcPr>
            <w:tcW w:w="1840" w:type="dxa"/>
            <w:noWrap/>
            <w:hideMark/>
          </w:tcPr>
          <w:p w14:paraId="040AD4C3" w14:textId="77777777" w:rsidR="00CF6010" w:rsidRPr="008C49A5" w:rsidRDefault="00CF6010" w:rsidP="008C49A5">
            <w:pPr>
              <w:jc w:val="both"/>
              <w:rPr>
                <w:rFonts w:cstheme="minorHAnsi"/>
                <w:b/>
                <w:bCs/>
              </w:rPr>
            </w:pPr>
            <w:r w:rsidRPr="008C49A5">
              <w:rPr>
                <w:rFonts w:cstheme="minorHAnsi"/>
                <w:b/>
                <w:bCs/>
              </w:rPr>
              <w:t>11.55</w:t>
            </w:r>
          </w:p>
        </w:tc>
        <w:tc>
          <w:tcPr>
            <w:tcW w:w="2260" w:type="dxa"/>
            <w:noWrap/>
            <w:hideMark/>
          </w:tcPr>
          <w:p w14:paraId="2E90E1C8" w14:textId="77777777" w:rsidR="00CF6010" w:rsidRPr="008C49A5" w:rsidRDefault="00CF6010" w:rsidP="008C49A5">
            <w:pPr>
              <w:jc w:val="both"/>
              <w:rPr>
                <w:rFonts w:cstheme="minorHAnsi"/>
                <w:b/>
                <w:bCs/>
              </w:rPr>
            </w:pPr>
            <w:r w:rsidRPr="008C49A5">
              <w:rPr>
                <w:rFonts w:cstheme="minorHAnsi"/>
                <w:b/>
                <w:bCs/>
              </w:rPr>
              <w:t>1.07</w:t>
            </w:r>
          </w:p>
        </w:tc>
        <w:tc>
          <w:tcPr>
            <w:tcW w:w="2120" w:type="dxa"/>
            <w:noWrap/>
            <w:hideMark/>
          </w:tcPr>
          <w:p w14:paraId="07327E31" w14:textId="77777777" w:rsidR="00CF6010" w:rsidRPr="008C49A5" w:rsidRDefault="00CF6010" w:rsidP="008C49A5">
            <w:pPr>
              <w:jc w:val="both"/>
              <w:rPr>
                <w:rFonts w:cstheme="minorHAnsi"/>
                <w:b/>
                <w:bCs/>
              </w:rPr>
            </w:pPr>
            <w:r w:rsidRPr="008C49A5">
              <w:rPr>
                <w:rFonts w:cstheme="minorHAnsi"/>
                <w:b/>
                <w:bCs/>
              </w:rPr>
              <w:t>4,443.00</w:t>
            </w:r>
          </w:p>
        </w:tc>
        <w:tc>
          <w:tcPr>
            <w:tcW w:w="2040" w:type="dxa"/>
            <w:noWrap/>
            <w:hideMark/>
          </w:tcPr>
          <w:p w14:paraId="371FCAAF" w14:textId="77777777" w:rsidR="00CF6010" w:rsidRPr="008C49A5" w:rsidRDefault="00CF6010" w:rsidP="008C49A5">
            <w:pPr>
              <w:jc w:val="both"/>
              <w:rPr>
                <w:rFonts w:cstheme="minorHAnsi"/>
                <w:b/>
                <w:bCs/>
              </w:rPr>
            </w:pPr>
            <w:r w:rsidRPr="008C49A5">
              <w:rPr>
                <w:rFonts w:cstheme="minorHAnsi"/>
                <w:b/>
                <w:bCs/>
              </w:rPr>
              <w:t>-7.69</w:t>
            </w:r>
          </w:p>
        </w:tc>
        <w:tc>
          <w:tcPr>
            <w:tcW w:w="1980" w:type="dxa"/>
            <w:noWrap/>
            <w:hideMark/>
          </w:tcPr>
          <w:p w14:paraId="59AF6DD8" w14:textId="77777777" w:rsidR="00CF6010" w:rsidRPr="008C49A5" w:rsidRDefault="00CF6010" w:rsidP="008C49A5">
            <w:pPr>
              <w:jc w:val="both"/>
              <w:rPr>
                <w:rFonts w:cstheme="minorHAnsi"/>
                <w:b/>
                <w:bCs/>
              </w:rPr>
            </w:pPr>
            <w:r w:rsidRPr="008C49A5">
              <w:rPr>
                <w:rFonts w:cstheme="minorHAnsi"/>
                <w:b/>
                <w:bCs/>
              </w:rPr>
              <w:t>3,226.05</w:t>
            </w:r>
          </w:p>
        </w:tc>
        <w:tc>
          <w:tcPr>
            <w:tcW w:w="1600" w:type="dxa"/>
            <w:noWrap/>
            <w:hideMark/>
          </w:tcPr>
          <w:p w14:paraId="3A15E23E" w14:textId="77777777" w:rsidR="00CF6010" w:rsidRPr="008C49A5" w:rsidRDefault="00CF6010" w:rsidP="008C49A5">
            <w:pPr>
              <w:jc w:val="both"/>
              <w:rPr>
                <w:rFonts w:cstheme="minorHAnsi"/>
                <w:b/>
                <w:bCs/>
              </w:rPr>
            </w:pPr>
            <w:r w:rsidRPr="008C49A5">
              <w:rPr>
                <w:rFonts w:cstheme="minorHAnsi"/>
                <w:b/>
                <w:bCs/>
              </w:rPr>
              <w:t>10.00</w:t>
            </w:r>
          </w:p>
        </w:tc>
        <w:tc>
          <w:tcPr>
            <w:tcW w:w="2020" w:type="dxa"/>
            <w:noWrap/>
            <w:hideMark/>
          </w:tcPr>
          <w:p w14:paraId="74953824" w14:textId="77777777" w:rsidR="00CF6010" w:rsidRPr="008C49A5" w:rsidRDefault="00CF6010" w:rsidP="008C49A5">
            <w:pPr>
              <w:jc w:val="both"/>
              <w:rPr>
                <w:rFonts w:cstheme="minorHAnsi"/>
                <w:b/>
                <w:bCs/>
              </w:rPr>
            </w:pPr>
            <w:r w:rsidRPr="008C49A5">
              <w:rPr>
                <w:rFonts w:cstheme="minorHAnsi"/>
                <w:b/>
                <w:bCs/>
              </w:rPr>
              <w:t>2203.44</w:t>
            </w:r>
          </w:p>
        </w:tc>
        <w:tc>
          <w:tcPr>
            <w:tcW w:w="2297" w:type="dxa"/>
            <w:noWrap/>
            <w:hideMark/>
          </w:tcPr>
          <w:p w14:paraId="1B97B232" w14:textId="77777777" w:rsidR="00CF6010" w:rsidRPr="008C49A5" w:rsidRDefault="00CF6010" w:rsidP="008C49A5">
            <w:pPr>
              <w:jc w:val="both"/>
              <w:rPr>
                <w:rFonts w:cstheme="minorHAnsi"/>
                <w:b/>
                <w:bCs/>
              </w:rPr>
            </w:pPr>
            <w:r w:rsidRPr="008C49A5">
              <w:rPr>
                <w:rFonts w:cstheme="minorHAnsi"/>
                <w:b/>
                <w:bCs/>
              </w:rPr>
              <w:t>Overvalued</w:t>
            </w:r>
          </w:p>
        </w:tc>
      </w:tr>
    </w:tbl>
    <w:p w14:paraId="6CA42455" w14:textId="77777777" w:rsidR="00CF6010" w:rsidRDefault="00CF6010" w:rsidP="008C49A5">
      <w:pPr>
        <w:jc w:val="both"/>
        <w:rPr>
          <w:rFonts w:cstheme="minorHAnsi"/>
          <w:b/>
          <w:bCs/>
        </w:rPr>
      </w:pPr>
    </w:p>
    <w:p w14:paraId="57EA15E0" w14:textId="77777777" w:rsidR="004A4B76" w:rsidRDefault="004A4B76" w:rsidP="008C49A5">
      <w:pPr>
        <w:jc w:val="both"/>
        <w:rPr>
          <w:rFonts w:cstheme="minorHAnsi"/>
          <w:b/>
          <w:bCs/>
        </w:rPr>
      </w:pPr>
    </w:p>
    <w:p w14:paraId="31A64C9D" w14:textId="52105718" w:rsidR="002B7095" w:rsidRPr="002B7095" w:rsidRDefault="002B7095" w:rsidP="008C49A5">
      <w:pPr>
        <w:jc w:val="both"/>
        <w:rPr>
          <w:rFonts w:ascii="Algerian" w:hAnsi="Algerian" w:cstheme="minorHAnsi"/>
          <w:b/>
          <w:bCs/>
        </w:rPr>
      </w:pPr>
      <w:r w:rsidRPr="002B7095">
        <w:rPr>
          <w:rFonts w:ascii="Algerian" w:hAnsi="Algerian" w:cstheme="minorHAnsi"/>
          <w:b/>
          <w:bCs/>
        </w:rPr>
        <w:t>Co</w:t>
      </w:r>
      <w:r w:rsidR="004A4B76" w:rsidRPr="004A4B76">
        <w:rPr>
          <w:rFonts w:ascii="Algerian" w:hAnsi="Algerian" w:cstheme="minorHAnsi"/>
          <w:b/>
          <w:bCs/>
        </w:rPr>
        <w:t>n</w:t>
      </w:r>
      <w:r w:rsidRPr="002B7095">
        <w:rPr>
          <w:rFonts w:ascii="Algerian" w:hAnsi="Algerian" w:cstheme="minorHAnsi"/>
          <w:b/>
          <w:bCs/>
        </w:rPr>
        <w:t>clusion</w:t>
      </w:r>
    </w:p>
    <w:p w14:paraId="53D5FF92" w14:textId="77777777" w:rsidR="002B7095" w:rsidRPr="002B7095" w:rsidRDefault="002B7095" w:rsidP="008C49A5">
      <w:pPr>
        <w:jc w:val="both"/>
        <w:rPr>
          <w:rFonts w:cstheme="minorHAnsi"/>
          <w:b/>
          <w:bCs/>
        </w:rPr>
      </w:pPr>
      <w:r w:rsidRPr="002B7095">
        <w:rPr>
          <w:rFonts w:cstheme="minorHAnsi"/>
          <w:b/>
          <w:bCs/>
        </w:rPr>
        <w:t>Based on the DCF valuation model, we have determined the following:</w:t>
      </w:r>
    </w:p>
    <w:p w14:paraId="53BA6A64" w14:textId="77777777" w:rsidR="002B7095" w:rsidRPr="002B7095" w:rsidRDefault="002B7095" w:rsidP="008C49A5">
      <w:pPr>
        <w:numPr>
          <w:ilvl w:val="0"/>
          <w:numId w:val="33"/>
        </w:numPr>
        <w:jc w:val="both"/>
        <w:rPr>
          <w:rFonts w:cstheme="minorHAnsi"/>
        </w:rPr>
      </w:pPr>
      <w:r w:rsidRPr="002B7095">
        <w:rPr>
          <w:rFonts w:cstheme="minorHAnsi"/>
        </w:rPr>
        <w:t>Atlanticus Holdings Corp (Financial Sector) is currently undervalued. Its present value using DCF ($816.21M) is greater than its market capitalization ($492.58M).</w:t>
      </w:r>
    </w:p>
    <w:p w14:paraId="31905CD0" w14:textId="77777777" w:rsidR="002B7095" w:rsidRPr="002B7095" w:rsidRDefault="002B7095" w:rsidP="008C49A5">
      <w:pPr>
        <w:numPr>
          <w:ilvl w:val="0"/>
          <w:numId w:val="33"/>
        </w:numPr>
        <w:jc w:val="both"/>
        <w:rPr>
          <w:rFonts w:cstheme="minorHAnsi"/>
        </w:rPr>
      </w:pPr>
      <w:r w:rsidRPr="002B7095">
        <w:rPr>
          <w:rFonts w:cstheme="minorHAnsi"/>
        </w:rPr>
        <w:t>Diebold Nixdorf Inc (Technology Sector) is currently overvalued. Its present value using DCF ($652.99M) is less than its market capitalization ($3,390.00M).</w:t>
      </w:r>
    </w:p>
    <w:p w14:paraId="0A457347" w14:textId="77777777" w:rsidR="002B7095" w:rsidRPr="002B7095" w:rsidRDefault="002B7095" w:rsidP="008C49A5">
      <w:pPr>
        <w:numPr>
          <w:ilvl w:val="0"/>
          <w:numId w:val="33"/>
        </w:numPr>
        <w:jc w:val="both"/>
        <w:rPr>
          <w:rFonts w:cstheme="minorHAnsi"/>
        </w:rPr>
      </w:pPr>
      <w:r w:rsidRPr="002B7095">
        <w:rPr>
          <w:rFonts w:cstheme="minorHAnsi"/>
        </w:rPr>
        <w:t>Ready Capital Corp (Real Estate Sector) is currently overvalued. Its present value using DCF ($861.39M) is less than its market capitalization ($1,570.00M).</w:t>
      </w:r>
    </w:p>
    <w:p w14:paraId="25642ADC" w14:textId="77777777" w:rsidR="002B7095" w:rsidRPr="002B7095" w:rsidRDefault="002B7095" w:rsidP="008C49A5">
      <w:pPr>
        <w:numPr>
          <w:ilvl w:val="0"/>
          <w:numId w:val="33"/>
        </w:numPr>
        <w:jc w:val="both"/>
        <w:rPr>
          <w:rFonts w:cstheme="minorHAnsi"/>
        </w:rPr>
      </w:pPr>
      <w:r w:rsidRPr="002B7095">
        <w:rPr>
          <w:rFonts w:cstheme="minorHAnsi"/>
        </w:rPr>
        <w:t>Fox Corporation (Communication Services Sector) is currently overvalued. Its present value using DCF ($2,203.44M) is less than its market capitalization ($17,220.00M).</w:t>
      </w:r>
    </w:p>
    <w:p w14:paraId="616E9464" w14:textId="1FBF4C7A" w:rsidR="00CF6010" w:rsidRPr="008C49A5" w:rsidRDefault="004B2404" w:rsidP="008C49A5">
      <w:pPr>
        <w:jc w:val="both"/>
        <w:rPr>
          <w:rFonts w:cstheme="minorHAnsi"/>
          <w:b/>
          <w:bCs/>
        </w:rPr>
      </w:pPr>
      <w:r w:rsidRPr="008C49A5">
        <w:rPr>
          <w:rFonts w:cstheme="minorHAnsi"/>
          <w:noProof/>
        </w:rPr>
        <w:drawing>
          <wp:anchor distT="0" distB="0" distL="114300" distR="114300" simplePos="0" relativeHeight="251660288" behindDoc="0" locked="0" layoutInCell="1" allowOverlap="1" wp14:anchorId="79D6E335" wp14:editId="77727E40">
            <wp:simplePos x="0" y="0"/>
            <wp:positionH relativeFrom="column">
              <wp:posOffset>990600</wp:posOffset>
            </wp:positionH>
            <wp:positionV relativeFrom="paragraph">
              <wp:posOffset>71120</wp:posOffset>
            </wp:positionV>
            <wp:extent cx="3781425" cy="2212975"/>
            <wp:effectExtent l="0" t="0" r="0" b="0"/>
            <wp:wrapSquare wrapText="bothSides"/>
            <wp:docPr id="1545186064" name="Chart 1">
              <a:extLst xmlns:a="http://schemas.openxmlformats.org/drawingml/2006/main">
                <a:ext uri="{FF2B5EF4-FFF2-40B4-BE49-F238E27FC236}">
                  <a16:creationId xmlns:a16="http://schemas.microsoft.com/office/drawing/2014/main" id="{2609DA58-2009-5219-23D0-BBD7A8E99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3E273803" w14:textId="7D9A33B9" w:rsidR="002B7095" w:rsidRPr="008C49A5" w:rsidRDefault="002B7095" w:rsidP="008C49A5">
      <w:pPr>
        <w:jc w:val="both"/>
        <w:rPr>
          <w:rFonts w:cstheme="minorHAnsi"/>
          <w:b/>
          <w:bCs/>
        </w:rPr>
      </w:pPr>
    </w:p>
    <w:p w14:paraId="705EFC6B" w14:textId="77777777" w:rsidR="002B7095" w:rsidRPr="008C49A5" w:rsidRDefault="002B7095" w:rsidP="008C49A5">
      <w:pPr>
        <w:jc w:val="both"/>
        <w:rPr>
          <w:rFonts w:cstheme="minorHAnsi"/>
          <w:b/>
          <w:bCs/>
        </w:rPr>
      </w:pPr>
    </w:p>
    <w:p w14:paraId="1DEEAC87" w14:textId="77777777" w:rsidR="002B7095" w:rsidRPr="008C49A5" w:rsidRDefault="002B7095" w:rsidP="008C49A5">
      <w:pPr>
        <w:jc w:val="both"/>
        <w:rPr>
          <w:rFonts w:cstheme="minorHAnsi"/>
          <w:b/>
          <w:bCs/>
        </w:rPr>
      </w:pPr>
    </w:p>
    <w:p w14:paraId="57BD4A47" w14:textId="77777777" w:rsidR="004B2404" w:rsidRPr="008C49A5" w:rsidRDefault="004B2404" w:rsidP="008C49A5">
      <w:pPr>
        <w:jc w:val="both"/>
        <w:rPr>
          <w:rFonts w:cstheme="minorHAnsi"/>
          <w:b/>
          <w:bCs/>
        </w:rPr>
      </w:pPr>
    </w:p>
    <w:p w14:paraId="4EE35021" w14:textId="77777777" w:rsidR="004B2404" w:rsidRPr="008C49A5" w:rsidRDefault="004B2404" w:rsidP="008C49A5">
      <w:pPr>
        <w:jc w:val="both"/>
        <w:rPr>
          <w:rFonts w:cstheme="minorHAnsi"/>
          <w:b/>
          <w:bCs/>
        </w:rPr>
      </w:pPr>
    </w:p>
    <w:p w14:paraId="095D2E06" w14:textId="77777777" w:rsidR="004B2404" w:rsidRPr="008C49A5" w:rsidRDefault="004B2404" w:rsidP="008C49A5">
      <w:pPr>
        <w:jc w:val="both"/>
        <w:rPr>
          <w:rFonts w:cstheme="minorHAnsi"/>
          <w:b/>
          <w:bCs/>
        </w:rPr>
      </w:pPr>
    </w:p>
    <w:p w14:paraId="6CD18759" w14:textId="77777777" w:rsidR="004B2404" w:rsidRPr="008C49A5" w:rsidRDefault="004B2404" w:rsidP="008C49A5">
      <w:pPr>
        <w:jc w:val="both"/>
        <w:rPr>
          <w:rFonts w:cstheme="minorHAnsi"/>
          <w:b/>
          <w:bCs/>
        </w:rPr>
      </w:pPr>
    </w:p>
    <w:p w14:paraId="3223EA74" w14:textId="77777777" w:rsidR="004B2404" w:rsidRPr="008C49A5" w:rsidRDefault="004B2404" w:rsidP="008C49A5">
      <w:pPr>
        <w:jc w:val="both"/>
        <w:rPr>
          <w:rFonts w:cstheme="minorHAnsi"/>
          <w:b/>
          <w:bCs/>
        </w:rPr>
      </w:pPr>
    </w:p>
    <w:p w14:paraId="669A5DBF" w14:textId="77777777" w:rsidR="004B2404" w:rsidRPr="008C49A5" w:rsidRDefault="004B2404" w:rsidP="008C49A5">
      <w:pPr>
        <w:jc w:val="both"/>
        <w:rPr>
          <w:rFonts w:cstheme="minorHAnsi"/>
          <w:b/>
          <w:bCs/>
        </w:rPr>
      </w:pPr>
    </w:p>
    <w:p w14:paraId="7072E4DA" w14:textId="07067622" w:rsidR="00CF6010" w:rsidRPr="004A4B76" w:rsidRDefault="00CF6010" w:rsidP="008C49A5">
      <w:pPr>
        <w:jc w:val="both"/>
        <w:rPr>
          <w:rFonts w:ascii="Algerian" w:hAnsi="Algerian" w:cstheme="minorHAnsi"/>
          <w:b/>
          <w:bCs/>
        </w:rPr>
      </w:pPr>
      <w:r w:rsidRPr="004A4B76">
        <w:rPr>
          <w:rFonts w:ascii="Algerian" w:hAnsi="Algerian" w:cstheme="minorHAnsi"/>
          <w:b/>
          <w:bCs/>
        </w:rPr>
        <w:t>ADDITIONAL VARIABLE</w:t>
      </w:r>
      <w:r w:rsidR="002B7095" w:rsidRPr="004A4B76">
        <w:rPr>
          <w:rFonts w:ascii="Algerian" w:hAnsi="Algerian" w:cstheme="minorHAnsi"/>
          <w:b/>
          <w:bCs/>
        </w:rPr>
        <w:t>: MARKET CONDITION</w:t>
      </w:r>
    </w:p>
    <w:p w14:paraId="525BFC9A" w14:textId="6F4A759E" w:rsidR="002B7095" w:rsidRPr="002B7095" w:rsidRDefault="002B7095" w:rsidP="008C49A5">
      <w:pPr>
        <w:jc w:val="both"/>
        <w:rPr>
          <w:rFonts w:cstheme="minorHAnsi"/>
        </w:rPr>
      </w:pPr>
      <w:r w:rsidRPr="002B7095">
        <w:rPr>
          <w:rFonts w:cstheme="minorHAnsi"/>
        </w:rPr>
        <w:t>An additional variable not initially captured in the analysis is Market Conditions, including factors such as economic stability, interest rates, and inflation. Market conditions significantly impact a company's performance and valuation, especially in volatile sectors.</w:t>
      </w:r>
      <w:r w:rsidRPr="004A4B76">
        <w:rPr>
          <w:rFonts w:cstheme="minorHAnsi"/>
        </w:rPr>
        <w:t xml:space="preserve"> </w:t>
      </w:r>
      <w:r w:rsidRPr="002B7095">
        <w:rPr>
          <w:rFonts w:cstheme="minorHAnsi"/>
        </w:rPr>
        <w:t xml:space="preserve">Market conditions are a crucial variable because </w:t>
      </w:r>
      <w:r w:rsidRPr="002B7095">
        <w:rPr>
          <w:rFonts w:cstheme="minorHAnsi"/>
        </w:rPr>
        <w:lastRenderedPageBreak/>
        <w:t>they directly affect consumer behavior, investment decisions, and company revenues. In periods of economic growth, companies typically see increased demand and profitability. Conversely, during economic downturns, companies may face reduced consumer spending and tighter profit margins.</w:t>
      </w:r>
      <w:r w:rsidR="003C506F" w:rsidRPr="004A4B76">
        <w:rPr>
          <w:rFonts w:cstheme="minorHAnsi"/>
        </w:rPr>
        <w:t xml:space="preserve"> </w:t>
      </w:r>
      <w:r w:rsidR="00FC719B" w:rsidRPr="004A4B76">
        <w:rPr>
          <w:rFonts w:cstheme="minorHAnsi"/>
        </w:rPr>
        <w:t>M</w:t>
      </w:r>
      <w:r w:rsidR="003C506F" w:rsidRPr="004A4B76">
        <w:rPr>
          <w:rFonts w:cstheme="minorHAnsi"/>
        </w:rPr>
        <w:t>arket conditions were factored in to adjust the future GP and present value.</w:t>
      </w:r>
    </w:p>
    <w:p w14:paraId="226D92CF" w14:textId="139B0E23" w:rsidR="002B7095" w:rsidRPr="008C49A5" w:rsidRDefault="002B7095" w:rsidP="008C49A5">
      <w:pPr>
        <w:jc w:val="both"/>
        <w:rPr>
          <w:rFonts w:cstheme="minorHAnsi"/>
          <w:b/>
          <w:bCs/>
        </w:rPr>
      </w:pPr>
      <w:r w:rsidRPr="008C49A5">
        <w:rPr>
          <w:rFonts w:cstheme="minorHAnsi"/>
          <w:b/>
          <w:bCs/>
        </w:rPr>
        <w:t xml:space="preserve">Valuation Model with </w:t>
      </w:r>
      <w:r w:rsidR="003C506F" w:rsidRPr="008C49A5">
        <w:rPr>
          <w:rFonts w:cstheme="minorHAnsi"/>
          <w:b/>
          <w:bCs/>
        </w:rPr>
        <w:t>Market Conditions</w:t>
      </w:r>
      <w:r w:rsidRPr="008C49A5">
        <w:rPr>
          <w:rFonts w:cstheme="minorHAnsi"/>
          <w:b/>
          <w:bCs/>
        </w:rPr>
        <w:t>:</w:t>
      </w:r>
    </w:p>
    <w:p w14:paraId="07437D3B" w14:textId="26331427" w:rsidR="003C506F" w:rsidRPr="003C506F" w:rsidRDefault="003C506F" w:rsidP="008C49A5">
      <w:pPr>
        <w:jc w:val="both"/>
        <w:rPr>
          <w:rFonts w:cstheme="minorHAnsi"/>
        </w:rPr>
      </w:pPr>
      <w:r w:rsidRPr="003C506F">
        <w:rPr>
          <w:rFonts w:cstheme="minorHAnsi"/>
        </w:rPr>
        <w:t xml:space="preserve">To factor market conditions into our valuation model, the projected future gross profit (GP) </w:t>
      </w:r>
      <w:r w:rsidRPr="004A4B76">
        <w:rPr>
          <w:rFonts w:cstheme="minorHAnsi"/>
        </w:rPr>
        <w:t xml:space="preserve">will be adjusted </w:t>
      </w:r>
      <w:r w:rsidRPr="003C506F">
        <w:rPr>
          <w:rFonts w:cstheme="minorHAnsi"/>
        </w:rPr>
        <w:t>based on expected changes in these conditions. For simplicity, let's assume:</w:t>
      </w:r>
    </w:p>
    <w:p w14:paraId="174EF4F4" w14:textId="5245ED1A" w:rsidR="00623A3A" w:rsidRPr="004A4B76" w:rsidRDefault="003C506F" w:rsidP="008C49A5">
      <w:pPr>
        <w:numPr>
          <w:ilvl w:val="0"/>
          <w:numId w:val="35"/>
        </w:numPr>
        <w:jc w:val="both"/>
        <w:rPr>
          <w:rFonts w:cstheme="minorHAnsi"/>
        </w:rPr>
      </w:pPr>
      <w:r w:rsidRPr="003C506F">
        <w:rPr>
          <w:rFonts w:cstheme="minorHAnsi"/>
        </w:rPr>
        <w:t>Positive market conditions lead to a 5% increase in future GP.</w:t>
      </w:r>
    </w:p>
    <w:p w14:paraId="0A4E6C01" w14:textId="77777777" w:rsidR="004A4B76" w:rsidRDefault="004A4B76" w:rsidP="008C49A5">
      <w:pPr>
        <w:jc w:val="both"/>
        <w:rPr>
          <w:rFonts w:cstheme="minorHAnsi"/>
          <w:b/>
          <w:bCs/>
        </w:rPr>
      </w:pPr>
    </w:p>
    <w:p w14:paraId="7A89619E" w14:textId="01A0A108" w:rsidR="003C506F" w:rsidRPr="008C49A5" w:rsidRDefault="003C506F" w:rsidP="008C49A5">
      <w:pPr>
        <w:jc w:val="both"/>
        <w:rPr>
          <w:rFonts w:cstheme="minorHAnsi"/>
          <w:b/>
          <w:bCs/>
        </w:rPr>
      </w:pPr>
      <w:r w:rsidRPr="008C49A5">
        <w:rPr>
          <w:rFonts w:cstheme="minorHAnsi"/>
          <w:b/>
          <w:bCs/>
        </w:rPr>
        <w:t>The Below formular was used to calculate the adjusted future GP and adjusted present value:</w:t>
      </w:r>
    </w:p>
    <w:p w14:paraId="565B062B" w14:textId="0C362CC8" w:rsidR="003C506F" w:rsidRPr="008C49A5" w:rsidRDefault="003C506F" w:rsidP="008C49A5">
      <w:pPr>
        <w:jc w:val="both"/>
        <w:rPr>
          <w:rFonts w:cstheme="minorHAnsi"/>
          <w:b/>
          <w:bCs/>
        </w:rPr>
      </w:pPr>
      <w:r w:rsidRPr="008C49A5">
        <w:rPr>
          <w:rFonts w:cstheme="minorHAnsi"/>
          <w:b/>
          <w:bCs/>
        </w:rPr>
        <w:t>Adjusted Future GP = Future GP * 1.05</w:t>
      </w:r>
    </w:p>
    <w:p w14:paraId="00FE4DF9" w14:textId="214E07A7" w:rsidR="003C506F" w:rsidRPr="008C49A5" w:rsidRDefault="003C506F" w:rsidP="008C49A5">
      <w:pPr>
        <w:jc w:val="both"/>
        <w:rPr>
          <w:rFonts w:cstheme="minorHAnsi"/>
          <w:b/>
          <w:bCs/>
        </w:rPr>
      </w:pPr>
      <w:r w:rsidRPr="008C49A5">
        <w:rPr>
          <w:rFonts w:cstheme="minorHAnsi"/>
          <w:b/>
          <w:bCs/>
        </w:rPr>
        <w:t xml:space="preserve">Adjusted Present Value = Adjusted </w:t>
      </w:r>
      <w:r w:rsidRPr="008C49A5">
        <w:rPr>
          <w:rFonts w:cstheme="minorHAnsi"/>
          <w:b/>
          <w:bCs/>
        </w:rPr>
        <w:t xml:space="preserve">Future GP/ ((1 + r) ^ n) where n is the number of years (4 years) and r is the discount rate. </w:t>
      </w:r>
    </w:p>
    <w:tbl>
      <w:tblPr>
        <w:tblStyle w:val="TableGrid"/>
        <w:tblW w:w="9805" w:type="dxa"/>
        <w:tblLayout w:type="fixed"/>
        <w:tblLook w:val="04A0" w:firstRow="1" w:lastRow="0" w:firstColumn="1" w:lastColumn="0" w:noHBand="0" w:noVBand="1"/>
      </w:tblPr>
      <w:tblGrid>
        <w:gridCol w:w="1235"/>
        <w:gridCol w:w="1059"/>
        <w:gridCol w:w="770"/>
        <w:gridCol w:w="709"/>
        <w:gridCol w:w="824"/>
        <w:gridCol w:w="842"/>
        <w:gridCol w:w="767"/>
        <w:gridCol w:w="754"/>
        <w:gridCol w:w="643"/>
        <w:gridCol w:w="1032"/>
        <w:gridCol w:w="1170"/>
      </w:tblGrid>
      <w:tr w:rsidR="003C506F" w:rsidRPr="008C49A5" w14:paraId="4CB171E9" w14:textId="77777777" w:rsidTr="003C506F">
        <w:trPr>
          <w:trHeight w:val="870"/>
        </w:trPr>
        <w:tc>
          <w:tcPr>
            <w:tcW w:w="1235" w:type="dxa"/>
            <w:noWrap/>
            <w:hideMark/>
          </w:tcPr>
          <w:p w14:paraId="6B86BC10" w14:textId="77777777" w:rsidR="003C506F" w:rsidRPr="008C49A5" w:rsidRDefault="003C506F" w:rsidP="008C49A5">
            <w:pPr>
              <w:jc w:val="both"/>
              <w:rPr>
                <w:rFonts w:cstheme="minorHAnsi"/>
                <w:b/>
                <w:bCs/>
              </w:rPr>
            </w:pPr>
            <w:r w:rsidRPr="008C49A5">
              <w:rPr>
                <w:rFonts w:cstheme="minorHAnsi"/>
                <w:b/>
                <w:bCs/>
              </w:rPr>
              <w:t>Company Name</w:t>
            </w:r>
          </w:p>
        </w:tc>
        <w:tc>
          <w:tcPr>
            <w:tcW w:w="1059" w:type="dxa"/>
            <w:noWrap/>
            <w:hideMark/>
          </w:tcPr>
          <w:p w14:paraId="2AE99EE9" w14:textId="77777777" w:rsidR="003C506F" w:rsidRPr="008C49A5" w:rsidRDefault="003C506F" w:rsidP="008C49A5">
            <w:pPr>
              <w:jc w:val="both"/>
              <w:rPr>
                <w:rFonts w:cstheme="minorHAnsi"/>
                <w:b/>
                <w:bCs/>
              </w:rPr>
            </w:pPr>
            <w:r w:rsidRPr="008C49A5">
              <w:rPr>
                <w:rFonts w:cstheme="minorHAnsi"/>
                <w:b/>
                <w:bCs/>
              </w:rPr>
              <w:t>Sector</w:t>
            </w:r>
          </w:p>
        </w:tc>
        <w:tc>
          <w:tcPr>
            <w:tcW w:w="770" w:type="dxa"/>
            <w:hideMark/>
          </w:tcPr>
          <w:p w14:paraId="5F82161A" w14:textId="77777777" w:rsidR="003C506F" w:rsidRPr="008C49A5" w:rsidRDefault="003C506F" w:rsidP="008C49A5">
            <w:pPr>
              <w:jc w:val="both"/>
              <w:rPr>
                <w:rFonts w:cstheme="minorHAnsi"/>
                <w:b/>
                <w:bCs/>
              </w:rPr>
            </w:pPr>
            <w:r w:rsidRPr="008C49A5">
              <w:rPr>
                <w:rFonts w:cstheme="minorHAnsi"/>
                <w:b/>
                <w:bCs/>
              </w:rPr>
              <w:t xml:space="preserve">Market Capitalization($M) </w:t>
            </w:r>
          </w:p>
        </w:tc>
        <w:tc>
          <w:tcPr>
            <w:tcW w:w="709" w:type="dxa"/>
            <w:hideMark/>
          </w:tcPr>
          <w:p w14:paraId="1C96CBE6" w14:textId="18E98F3A" w:rsidR="003C506F" w:rsidRPr="008C49A5" w:rsidRDefault="003C506F" w:rsidP="008C49A5">
            <w:pPr>
              <w:jc w:val="both"/>
              <w:rPr>
                <w:rFonts w:cstheme="minorHAnsi"/>
                <w:b/>
                <w:bCs/>
              </w:rPr>
            </w:pPr>
            <w:r w:rsidRPr="008C49A5">
              <w:rPr>
                <w:rFonts w:cstheme="minorHAnsi"/>
                <w:b/>
                <w:bCs/>
              </w:rPr>
              <w:t xml:space="preserve">Price to </w:t>
            </w:r>
            <w:r w:rsidRPr="008C49A5">
              <w:rPr>
                <w:rFonts w:cstheme="minorHAnsi"/>
                <w:b/>
                <w:bCs/>
              </w:rPr>
              <w:t>Earnings</w:t>
            </w:r>
            <w:r w:rsidRPr="008C49A5">
              <w:rPr>
                <w:rFonts w:cstheme="minorHAnsi"/>
                <w:b/>
                <w:bCs/>
              </w:rPr>
              <w:t xml:space="preserve"> Ratio (P/E)</w:t>
            </w:r>
          </w:p>
        </w:tc>
        <w:tc>
          <w:tcPr>
            <w:tcW w:w="824" w:type="dxa"/>
            <w:hideMark/>
          </w:tcPr>
          <w:p w14:paraId="6018F1F9" w14:textId="77777777" w:rsidR="003C506F" w:rsidRPr="008C49A5" w:rsidRDefault="003C506F" w:rsidP="008C49A5">
            <w:pPr>
              <w:jc w:val="both"/>
              <w:rPr>
                <w:rFonts w:cstheme="minorHAnsi"/>
                <w:b/>
                <w:bCs/>
              </w:rPr>
            </w:pPr>
            <w:r w:rsidRPr="008C49A5">
              <w:rPr>
                <w:rFonts w:cstheme="minorHAnsi"/>
                <w:b/>
                <w:bCs/>
              </w:rPr>
              <w:t>Price to Sales Ratio (P/S)</w:t>
            </w:r>
          </w:p>
        </w:tc>
        <w:tc>
          <w:tcPr>
            <w:tcW w:w="842" w:type="dxa"/>
            <w:noWrap/>
            <w:hideMark/>
          </w:tcPr>
          <w:p w14:paraId="3807B8DF" w14:textId="77777777" w:rsidR="003C506F" w:rsidRPr="008C49A5" w:rsidRDefault="003C506F" w:rsidP="008C49A5">
            <w:pPr>
              <w:jc w:val="both"/>
              <w:rPr>
                <w:rFonts w:cstheme="minorHAnsi"/>
                <w:b/>
                <w:bCs/>
              </w:rPr>
            </w:pPr>
            <w:r w:rsidRPr="008C49A5">
              <w:rPr>
                <w:rFonts w:cstheme="minorHAnsi"/>
                <w:b/>
                <w:bCs/>
              </w:rPr>
              <w:t>Gross Profit (GP) ($M)</w:t>
            </w:r>
          </w:p>
        </w:tc>
        <w:tc>
          <w:tcPr>
            <w:tcW w:w="767" w:type="dxa"/>
            <w:hideMark/>
          </w:tcPr>
          <w:p w14:paraId="1B4C0D91" w14:textId="77777777" w:rsidR="003C506F" w:rsidRPr="008C49A5" w:rsidRDefault="003C506F" w:rsidP="008C49A5">
            <w:pPr>
              <w:jc w:val="both"/>
              <w:rPr>
                <w:rFonts w:cstheme="minorHAnsi"/>
                <w:b/>
                <w:bCs/>
              </w:rPr>
            </w:pPr>
            <w:r w:rsidRPr="008C49A5">
              <w:rPr>
                <w:rFonts w:cstheme="minorHAnsi"/>
                <w:b/>
                <w:bCs/>
              </w:rPr>
              <w:t>Gross Profit Growth (GPG) (%)</w:t>
            </w:r>
          </w:p>
        </w:tc>
        <w:tc>
          <w:tcPr>
            <w:tcW w:w="754" w:type="dxa"/>
            <w:hideMark/>
          </w:tcPr>
          <w:p w14:paraId="4FB14340" w14:textId="4ECB99B0" w:rsidR="003C506F" w:rsidRPr="008C49A5" w:rsidRDefault="003C506F" w:rsidP="008C49A5">
            <w:pPr>
              <w:jc w:val="both"/>
              <w:rPr>
                <w:rFonts w:cstheme="minorHAnsi"/>
                <w:b/>
                <w:bCs/>
              </w:rPr>
            </w:pPr>
            <w:r w:rsidRPr="008C49A5">
              <w:rPr>
                <w:rFonts w:cstheme="minorHAnsi"/>
                <w:b/>
                <w:bCs/>
              </w:rPr>
              <w:t xml:space="preserve">Adjusted Future GP ($M) </w:t>
            </w:r>
          </w:p>
        </w:tc>
        <w:tc>
          <w:tcPr>
            <w:tcW w:w="643" w:type="dxa"/>
            <w:hideMark/>
          </w:tcPr>
          <w:p w14:paraId="5E6DC457" w14:textId="77777777" w:rsidR="003C506F" w:rsidRPr="008C49A5" w:rsidRDefault="003C506F" w:rsidP="008C49A5">
            <w:pPr>
              <w:jc w:val="both"/>
              <w:rPr>
                <w:rFonts w:cstheme="minorHAnsi"/>
                <w:b/>
                <w:bCs/>
              </w:rPr>
            </w:pPr>
            <w:r w:rsidRPr="008C49A5">
              <w:rPr>
                <w:rFonts w:cstheme="minorHAnsi"/>
                <w:b/>
                <w:bCs/>
              </w:rPr>
              <w:t>Discount Rate (%)</w:t>
            </w:r>
          </w:p>
        </w:tc>
        <w:tc>
          <w:tcPr>
            <w:tcW w:w="1032" w:type="dxa"/>
            <w:hideMark/>
          </w:tcPr>
          <w:p w14:paraId="3412327F" w14:textId="77777777" w:rsidR="003C506F" w:rsidRPr="008C49A5" w:rsidRDefault="003C506F" w:rsidP="008C49A5">
            <w:pPr>
              <w:jc w:val="both"/>
              <w:rPr>
                <w:rFonts w:cstheme="minorHAnsi"/>
                <w:b/>
                <w:bCs/>
              </w:rPr>
            </w:pPr>
            <w:r w:rsidRPr="008C49A5">
              <w:rPr>
                <w:rFonts w:cstheme="minorHAnsi"/>
                <w:b/>
                <w:bCs/>
              </w:rPr>
              <w:t>Adjusted Present Value Using DCF ($M)</w:t>
            </w:r>
          </w:p>
        </w:tc>
        <w:tc>
          <w:tcPr>
            <w:tcW w:w="1170" w:type="dxa"/>
            <w:hideMark/>
          </w:tcPr>
          <w:p w14:paraId="3927F366" w14:textId="77777777" w:rsidR="003C506F" w:rsidRPr="008C49A5" w:rsidRDefault="003C506F" w:rsidP="008C49A5">
            <w:pPr>
              <w:jc w:val="both"/>
              <w:rPr>
                <w:rFonts w:cstheme="minorHAnsi"/>
                <w:b/>
                <w:bCs/>
              </w:rPr>
            </w:pPr>
            <w:r w:rsidRPr="008C49A5">
              <w:rPr>
                <w:rFonts w:cstheme="minorHAnsi"/>
                <w:b/>
                <w:bCs/>
              </w:rPr>
              <w:t>Undervalued/Overvalued</w:t>
            </w:r>
          </w:p>
        </w:tc>
      </w:tr>
      <w:tr w:rsidR="003C506F" w:rsidRPr="008C49A5" w14:paraId="03674472" w14:textId="77777777" w:rsidTr="003C506F">
        <w:trPr>
          <w:trHeight w:val="290"/>
        </w:trPr>
        <w:tc>
          <w:tcPr>
            <w:tcW w:w="1235" w:type="dxa"/>
            <w:noWrap/>
            <w:hideMark/>
          </w:tcPr>
          <w:p w14:paraId="4E6BDA06" w14:textId="77777777" w:rsidR="003C506F" w:rsidRPr="008C49A5" w:rsidRDefault="003C506F" w:rsidP="008C49A5">
            <w:pPr>
              <w:jc w:val="both"/>
              <w:rPr>
                <w:rFonts w:cstheme="minorHAnsi"/>
                <w:b/>
                <w:bCs/>
              </w:rPr>
            </w:pPr>
            <w:r w:rsidRPr="008C49A5">
              <w:rPr>
                <w:rFonts w:cstheme="minorHAnsi"/>
                <w:b/>
                <w:bCs/>
              </w:rPr>
              <w:t>Atlanticus Holdings Corp</w:t>
            </w:r>
          </w:p>
        </w:tc>
        <w:tc>
          <w:tcPr>
            <w:tcW w:w="1059" w:type="dxa"/>
            <w:noWrap/>
            <w:hideMark/>
          </w:tcPr>
          <w:p w14:paraId="1A9804FA" w14:textId="77777777" w:rsidR="003C506F" w:rsidRPr="008C49A5" w:rsidRDefault="003C506F" w:rsidP="008C49A5">
            <w:pPr>
              <w:jc w:val="both"/>
              <w:rPr>
                <w:rFonts w:cstheme="minorHAnsi"/>
                <w:b/>
                <w:bCs/>
              </w:rPr>
            </w:pPr>
            <w:r w:rsidRPr="008C49A5">
              <w:rPr>
                <w:rFonts w:cstheme="minorHAnsi"/>
                <w:b/>
                <w:bCs/>
              </w:rPr>
              <w:t>FINANCIAL</w:t>
            </w:r>
          </w:p>
        </w:tc>
        <w:tc>
          <w:tcPr>
            <w:tcW w:w="770" w:type="dxa"/>
            <w:noWrap/>
            <w:hideMark/>
          </w:tcPr>
          <w:p w14:paraId="5503BAC5" w14:textId="77777777" w:rsidR="003C506F" w:rsidRPr="008C49A5" w:rsidRDefault="003C506F" w:rsidP="008C49A5">
            <w:pPr>
              <w:jc w:val="both"/>
              <w:rPr>
                <w:rFonts w:cstheme="minorHAnsi"/>
                <w:b/>
                <w:bCs/>
              </w:rPr>
            </w:pPr>
            <w:r w:rsidRPr="008C49A5">
              <w:rPr>
                <w:rFonts w:cstheme="minorHAnsi"/>
                <w:b/>
                <w:bCs/>
              </w:rPr>
              <w:t>492.58</w:t>
            </w:r>
          </w:p>
        </w:tc>
        <w:tc>
          <w:tcPr>
            <w:tcW w:w="709" w:type="dxa"/>
            <w:noWrap/>
            <w:hideMark/>
          </w:tcPr>
          <w:p w14:paraId="0B20EA24" w14:textId="77777777" w:rsidR="003C506F" w:rsidRPr="008C49A5" w:rsidRDefault="003C506F" w:rsidP="008C49A5">
            <w:pPr>
              <w:jc w:val="both"/>
              <w:rPr>
                <w:rFonts w:cstheme="minorHAnsi"/>
                <w:b/>
                <w:bCs/>
              </w:rPr>
            </w:pPr>
            <w:r w:rsidRPr="008C49A5">
              <w:rPr>
                <w:rFonts w:cstheme="minorHAnsi"/>
                <w:b/>
                <w:bCs/>
              </w:rPr>
              <w:t>7.84</w:t>
            </w:r>
          </w:p>
        </w:tc>
        <w:tc>
          <w:tcPr>
            <w:tcW w:w="824" w:type="dxa"/>
            <w:noWrap/>
            <w:hideMark/>
          </w:tcPr>
          <w:p w14:paraId="08C32100" w14:textId="77777777" w:rsidR="003C506F" w:rsidRPr="008C49A5" w:rsidRDefault="003C506F" w:rsidP="008C49A5">
            <w:pPr>
              <w:jc w:val="both"/>
              <w:rPr>
                <w:rFonts w:cstheme="minorHAnsi"/>
                <w:b/>
                <w:bCs/>
              </w:rPr>
            </w:pPr>
            <w:r w:rsidRPr="008C49A5">
              <w:rPr>
                <w:rFonts w:cstheme="minorHAnsi"/>
                <w:b/>
                <w:bCs/>
              </w:rPr>
              <w:t>0.47</w:t>
            </w:r>
          </w:p>
        </w:tc>
        <w:tc>
          <w:tcPr>
            <w:tcW w:w="842" w:type="dxa"/>
            <w:noWrap/>
            <w:hideMark/>
          </w:tcPr>
          <w:p w14:paraId="40D5C023" w14:textId="77777777" w:rsidR="003C506F" w:rsidRPr="008C49A5" w:rsidRDefault="003C506F" w:rsidP="008C49A5">
            <w:pPr>
              <w:jc w:val="both"/>
              <w:rPr>
                <w:rFonts w:cstheme="minorHAnsi"/>
                <w:b/>
                <w:bCs/>
              </w:rPr>
            </w:pPr>
            <w:r w:rsidRPr="008C49A5">
              <w:rPr>
                <w:rFonts w:cstheme="minorHAnsi"/>
                <w:b/>
                <w:bCs/>
              </w:rPr>
              <w:t>1,079.67</w:t>
            </w:r>
          </w:p>
        </w:tc>
        <w:tc>
          <w:tcPr>
            <w:tcW w:w="767" w:type="dxa"/>
            <w:noWrap/>
            <w:hideMark/>
          </w:tcPr>
          <w:p w14:paraId="6338CEF6" w14:textId="77777777" w:rsidR="003C506F" w:rsidRPr="008C49A5" w:rsidRDefault="003C506F" w:rsidP="008C49A5">
            <w:pPr>
              <w:jc w:val="both"/>
              <w:rPr>
                <w:rFonts w:cstheme="minorHAnsi"/>
                <w:b/>
                <w:bCs/>
              </w:rPr>
            </w:pPr>
            <w:r w:rsidRPr="008C49A5">
              <w:rPr>
                <w:rFonts w:cstheme="minorHAnsi"/>
                <w:b/>
                <w:bCs/>
              </w:rPr>
              <w:t>2.57</w:t>
            </w:r>
          </w:p>
        </w:tc>
        <w:tc>
          <w:tcPr>
            <w:tcW w:w="754" w:type="dxa"/>
            <w:noWrap/>
            <w:hideMark/>
          </w:tcPr>
          <w:p w14:paraId="1568A1D0" w14:textId="77777777" w:rsidR="003C506F" w:rsidRPr="008C49A5" w:rsidRDefault="003C506F" w:rsidP="008C49A5">
            <w:pPr>
              <w:jc w:val="both"/>
              <w:rPr>
                <w:rFonts w:cstheme="minorHAnsi"/>
                <w:b/>
                <w:bCs/>
              </w:rPr>
            </w:pPr>
            <w:r w:rsidRPr="008C49A5">
              <w:rPr>
                <w:rFonts w:cstheme="minorHAnsi"/>
                <w:b/>
                <w:bCs/>
              </w:rPr>
              <w:t>1,254.76</w:t>
            </w:r>
          </w:p>
        </w:tc>
        <w:tc>
          <w:tcPr>
            <w:tcW w:w="643" w:type="dxa"/>
            <w:noWrap/>
            <w:hideMark/>
          </w:tcPr>
          <w:p w14:paraId="6A14785C" w14:textId="77777777" w:rsidR="003C506F" w:rsidRPr="008C49A5" w:rsidRDefault="003C506F" w:rsidP="008C49A5">
            <w:pPr>
              <w:jc w:val="both"/>
              <w:rPr>
                <w:rFonts w:cstheme="minorHAnsi"/>
                <w:b/>
                <w:bCs/>
              </w:rPr>
            </w:pPr>
            <w:r w:rsidRPr="008C49A5">
              <w:rPr>
                <w:rFonts w:cstheme="minorHAnsi"/>
                <w:b/>
                <w:bCs/>
              </w:rPr>
              <w:t>10.00</w:t>
            </w:r>
          </w:p>
        </w:tc>
        <w:tc>
          <w:tcPr>
            <w:tcW w:w="1032" w:type="dxa"/>
            <w:noWrap/>
            <w:hideMark/>
          </w:tcPr>
          <w:p w14:paraId="2E5A4C6C" w14:textId="77777777" w:rsidR="003C506F" w:rsidRPr="008C49A5" w:rsidRDefault="003C506F" w:rsidP="008C49A5">
            <w:pPr>
              <w:jc w:val="both"/>
              <w:rPr>
                <w:rFonts w:cstheme="minorHAnsi"/>
                <w:b/>
                <w:bCs/>
              </w:rPr>
            </w:pPr>
            <w:r w:rsidRPr="008C49A5">
              <w:rPr>
                <w:rFonts w:cstheme="minorHAnsi"/>
                <w:b/>
                <w:bCs/>
              </w:rPr>
              <w:t>857.02</w:t>
            </w:r>
          </w:p>
        </w:tc>
        <w:tc>
          <w:tcPr>
            <w:tcW w:w="1170" w:type="dxa"/>
            <w:noWrap/>
            <w:hideMark/>
          </w:tcPr>
          <w:p w14:paraId="59328D65" w14:textId="77777777" w:rsidR="003C506F" w:rsidRPr="008C49A5" w:rsidRDefault="003C506F" w:rsidP="008C49A5">
            <w:pPr>
              <w:jc w:val="both"/>
              <w:rPr>
                <w:rFonts w:cstheme="minorHAnsi"/>
                <w:b/>
                <w:bCs/>
              </w:rPr>
            </w:pPr>
            <w:r w:rsidRPr="008C49A5">
              <w:rPr>
                <w:rFonts w:cstheme="minorHAnsi"/>
                <w:b/>
                <w:bCs/>
              </w:rPr>
              <w:t>Undervalued</w:t>
            </w:r>
          </w:p>
        </w:tc>
      </w:tr>
      <w:tr w:rsidR="003C506F" w:rsidRPr="008C49A5" w14:paraId="4CFBF6F9" w14:textId="77777777" w:rsidTr="003C506F">
        <w:trPr>
          <w:trHeight w:val="320"/>
        </w:trPr>
        <w:tc>
          <w:tcPr>
            <w:tcW w:w="1235" w:type="dxa"/>
            <w:noWrap/>
            <w:hideMark/>
          </w:tcPr>
          <w:p w14:paraId="2BB97A58" w14:textId="77777777" w:rsidR="003C506F" w:rsidRPr="008C49A5" w:rsidRDefault="003C506F" w:rsidP="008C49A5">
            <w:pPr>
              <w:jc w:val="both"/>
              <w:rPr>
                <w:rFonts w:cstheme="minorHAnsi"/>
                <w:b/>
                <w:bCs/>
              </w:rPr>
            </w:pPr>
            <w:r w:rsidRPr="008C49A5">
              <w:rPr>
                <w:rFonts w:cstheme="minorHAnsi"/>
                <w:b/>
                <w:bCs/>
              </w:rPr>
              <w:t>Diebold Nixdorf Inc</w:t>
            </w:r>
          </w:p>
        </w:tc>
        <w:tc>
          <w:tcPr>
            <w:tcW w:w="1059" w:type="dxa"/>
            <w:noWrap/>
            <w:hideMark/>
          </w:tcPr>
          <w:p w14:paraId="05974CE7" w14:textId="77777777" w:rsidR="003C506F" w:rsidRPr="008C49A5" w:rsidRDefault="003C506F" w:rsidP="008C49A5">
            <w:pPr>
              <w:jc w:val="both"/>
              <w:rPr>
                <w:rFonts w:cstheme="minorHAnsi"/>
                <w:b/>
                <w:bCs/>
              </w:rPr>
            </w:pPr>
            <w:r w:rsidRPr="008C49A5">
              <w:rPr>
                <w:rFonts w:cstheme="minorHAnsi"/>
                <w:b/>
                <w:bCs/>
              </w:rPr>
              <w:t>TECHNOLOGY</w:t>
            </w:r>
          </w:p>
        </w:tc>
        <w:tc>
          <w:tcPr>
            <w:tcW w:w="770" w:type="dxa"/>
            <w:noWrap/>
            <w:hideMark/>
          </w:tcPr>
          <w:p w14:paraId="186DDF9C" w14:textId="77777777" w:rsidR="003C506F" w:rsidRPr="008C49A5" w:rsidRDefault="003C506F" w:rsidP="008C49A5">
            <w:pPr>
              <w:jc w:val="both"/>
              <w:rPr>
                <w:rFonts w:cstheme="minorHAnsi"/>
                <w:b/>
                <w:bCs/>
              </w:rPr>
            </w:pPr>
            <w:r w:rsidRPr="008C49A5">
              <w:rPr>
                <w:rFonts w:cstheme="minorHAnsi"/>
                <w:b/>
                <w:bCs/>
              </w:rPr>
              <w:t>3,390.00</w:t>
            </w:r>
          </w:p>
        </w:tc>
        <w:tc>
          <w:tcPr>
            <w:tcW w:w="709" w:type="dxa"/>
            <w:noWrap/>
            <w:hideMark/>
          </w:tcPr>
          <w:p w14:paraId="4A282529" w14:textId="77777777" w:rsidR="003C506F" w:rsidRPr="008C49A5" w:rsidRDefault="003C506F" w:rsidP="008C49A5">
            <w:pPr>
              <w:jc w:val="both"/>
              <w:rPr>
                <w:rFonts w:cstheme="minorHAnsi"/>
                <w:b/>
                <w:bCs/>
              </w:rPr>
            </w:pPr>
            <w:r w:rsidRPr="008C49A5">
              <w:rPr>
                <w:rFonts w:cstheme="minorHAnsi"/>
                <w:b/>
                <w:bCs/>
              </w:rPr>
              <w:t>0.88</w:t>
            </w:r>
          </w:p>
        </w:tc>
        <w:tc>
          <w:tcPr>
            <w:tcW w:w="824" w:type="dxa"/>
            <w:noWrap/>
            <w:hideMark/>
          </w:tcPr>
          <w:p w14:paraId="0126664C" w14:textId="77777777" w:rsidR="003C506F" w:rsidRPr="008C49A5" w:rsidRDefault="003C506F" w:rsidP="008C49A5">
            <w:pPr>
              <w:jc w:val="both"/>
              <w:rPr>
                <w:rFonts w:cstheme="minorHAnsi"/>
                <w:b/>
                <w:bCs/>
              </w:rPr>
            </w:pPr>
            <w:r w:rsidRPr="008C49A5">
              <w:rPr>
                <w:rFonts w:cstheme="minorHAnsi"/>
                <w:b/>
                <w:bCs/>
              </w:rPr>
              <w:t>0.34</w:t>
            </w:r>
          </w:p>
        </w:tc>
        <w:tc>
          <w:tcPr>
            <w:tcW w:w="842" w:type="dxa"/>
            <w:noWrap/>
            <w:hideMark/>
          </w:tcPr>
          <w:p w14:paraId="392F2144" w14:textId="77777777" w:rsidR="003C506F" w:rsidRPr="008C49A5" w:rsidRDefault="003C506F" w:rsidP="008C49A5">
            <w:pPr>
              <w:jc w:val="both"/>
              <w:rPr>
                <w:rFonts w:cstheme="minorHAnsi"/>
                <w:b/>
                <w:bCs/>
              </w:rPr>
            </w:pPr>
            <w:r w:rsidRPr="008C49A5">
              <w:rPr>
                <w:rFonts w:cstheme="minorHAnsi"/>
                <w:b/>
                <w:bCs/>
              </w:rPr>
              <w:t>891.60</w:t>
            </w:r>
          </w:p>
        </w:tc>
        <w:tc>
          <w:tcPr>
            <w:tcW w:w="767" w:type="dxa"/>
            <w:noWrap/>
            <w:hideMark/>
          </w:tcPr>
          <w:p w14:paraId="601BF542" w14:textId="77777777" w:rsidR="003C506F" w:rsidRPr="008C49A5" w:rsidRDefault="003C506F" w:rsidP="008C49A5">
            <w:pPr>
              <w:jc w:val="both"/>
              <w:rPr>
                <w:rFonts w:cstheme="minorHAnsi"/>
                <w:b/>
                <w:bCs/>
              </w:rPr>
            </w:pPr>
            <w:r w:rsidRPr="008C49A5">
              <w:rPr>
                <w:rFonts w:cstheme="minorHAnsi"/>
                <w:b/>
                <w:bCs/>
              </w:rPr>
              <w:t>1.76</w:t>
            </w:r>
          </w:p>
        </w:tc>
        <w:tc>
          <w:tcPr>
            <w:tcW w:w="754" w:type="dxa"/>
            <w:noWrap/>
            <w:hideMark/>
          </w:tcPr>
          <w:p w14:paraId="2B9CDC30" w14:textId="77777777" w:rsidR="003C506F" w:rsidRPr="008C49A5" w:rsidRDefault="003C506F" w:rsidP="008C49A5">
            <w:pPr>
              <w:jc w:val="both"/>
              <w:rPr>
                <w:rFonts w:cstheme="minorHAnsi"/>
                <w:b/>
                <w:bCs/>
              </w:rPr>
            </w:pPr>
            <w:r w:rsidRPr="008C49A5">
              <w:rPr>
                <w:rFonts w:cstheme="minorHAnsi"/>
                <w:b/>
                <w:bCs/>
              </w:rPr>
              <w:t>1,003.85</w:t>
            </w:r>
          </w:p>
        </w:tc>
        <w:tc>
          <w:tcPr>
            <w:tcW w:w="643" w:type="dxa"/>
            <w:noWrap/>
            <w:hideMark/>
          </w:tcPr>
          <w:p w14:paraId="3BB7F6E7" w14:textId="77777777" w:rsidR="003C506F" w:rsidRPr="008C49A5" w:rsidRDefault="003C506F" w:rsidP="008C49A5">
            <w:pPr>
              <w:jc w:val="both"/>
              <w:rPr>
                <w:rFonts w:cstheme="minorHAnsi"/>
                <w:b/>
                <w:bCs/>
              </w:rPr>
            </w:pPr>
            <w:r w:rsidRPr="008C49A5">
              <w:rPr>
                <w:rFonts w:cstheme="minorHAnsi"/>
                <w:b/>
                <w:bCs/>
              </w:rPr>
              <w:t>10.00</w:t>
            </w:r>
          </w:p>
        </w:tc>
        <w:tc>
          <w:tcPr>
            <w:tcW w:w="1032" w:type="dxa"/>
            <w:noWrap/>
            <w:hideMark/>
          </w:tcPr>
          <w:p w14:paraId="1B87D11D" w14:textId="77777777" w:rsidR="003C506F" w:rsidRPr="008C49A5" w:rsidRDefault="003C506F" w:rsidP="008C49A5">
            <w:pPr>
              <w:jc w:val="both"/>
              <w:rPr>
                <w:rFonts w:cstheme="minorHAnsi"/>
                <w:b/>
                <w:bCs/>
              </w:rPr>
            </w:pPr>
            <w:r w:rsidRPr="008C49A5">
              <w:rPr>
                <w:rFonts w:cstheme="minorHAnsi"/>
                <w:b/>
                <w:bCs/>
              </w:rPr>
              <w:t>685.64</w:t>
            </w:r>
          </w:p>
        </w:tc>
        <w:tc>
          <w:tcPr>
            <w:tcW w:w="1170" w:type="dxa"/>
            <w:noWrap/>
            <w:hideMark/>
          </w:tcPr>
          <w:p w14:paraId="446E0D2B" w14:textId="77777777" w:rsidR="003C506F" w:rsidRPr="008C49A5" w:rsidRDefault="003C506F" w:rsidP="008C49A5">
            <w:pPr>
              <w:jc w:val="both"/>
              <w:rPr>
                <w:rFonts w:cstheme="minorHAnsi"/>
                <w:b/>
                <w:bCs/>
              </w:rPr>
            </w:pPr>
            <w:r w:rsidRPr="008C49A5">
              <w:rPr>
                <w:rFonts w:cstheme="minorHAnsi"/>
                <w:b/>
                <w:bCs/>
              </w:rPr>
              <w:t>Overvalued</w:t>
            </w:r>
          </w:p>
        </w:tc>
      </w:tr>
      <w:tr w:rsidR="003C506F" w:rsidRPr="008C49A5" w14:paraId="189396BC" w14:textId="77777777" w:rsidTr="003C506F">
        <w:trPr>
          <w:trHeight w:val="290"/>
        </w:trPr>
        <w:tc>
          <w:tcPr>
            <w:tcW w:w="1235" w:type="dxa"/>
            <w:noWrap/>
            <w:hideMark/>
          </w:tcPr>
          <w:p w14:paraId="793E8BD1" w14:textId="77777777" w:rsidR="003C506F" w:rsidRPr="008C49A5" w:rsidRDefault="003C506F" w:rsidP="008C49A5">
            <w:pPr>
              <w:jc w:val="both"/>
              <w:rPr>
                <w:rFonts w:cstheme="minorHAnsi"/>
                <w:b/>
                <w:bCs/>
              </w:rPr>
            </w:pPr>
            <w:r w:rsidRPr="008C49A5">
              <w:rPr>
                <w:rFonts w:cstheme="minorHAnsi"/>
                <w:b/>
                <w:bCs/>
              </w:rPr>
              <w:t>Ready Capital Corp</w:t>
            </w:r>
          </w:p>
        </w:tc>
        <w:tc>
          <w:tcPr>
            <w:tcW w:w="1059" w:type="dxa"/>
            <w:noWrap/>
            <w:hideMark/>
          </w:tcPr>
          <w:p w14:paraId="6F86B733" w14:textId="77777777" w:rsidR="003C506F" w:rsidRPr="008C49A5" w:rsidRDefault="003C506F" w:rsidP="008C49A5">
            <w:pPr>
              <w:jc w:val="both"/>
              <w:rPr>
                <w:rFonts w:cstheme="minorHAnsi"/>
                <w:b/>
                <w:bCs/>
              </w:rPr>
            </w:pPr>
            <w:r w:rsidRPr="008C49A5">
              <w:rPr>
                <w:rFonts w:cstheme="minorHAnsi"/>
                <w:b/>
                <w:bCs/>
              </w:rPr>
              <w:t xml:space="preserve">REAL ESTATE </w:t>
            </w:r>
          </w:p>
        </w:tc>
        <w:tc>
          <w:tcPr>
            <w:tcW w:w="770" w:type="dxa"/>
            <w:noWrap/>
            <w:hideMark/>
          </w:tcPr>
          <w:p w14:paraId="1E2F1D7C" w14:textId="77777777" w:rsidR="003C506F" w:rsidRPr="008C49A5" w:rsidRDefault="003C506F" w:rsidP="008C49A5">
            <w:pPr>
              <w:jc w:val="both"/>
              <w:rPr>
                <w:rFonts w:cstheme="minorHAnsi"/>
                <w:b/>
                <w:bCs/>
              </w:rPr>
            </w:pPr>
            <w:r w:rsidRPr="008C49A5">
              <w:rPr>
                <w:rFonts w:cstheme="minorHAnsi"/>
                <w:b/>
                <w:bCs/>
              </w:rPr>
              <w:t>1,570.00</w:t>
            </w:r>
          </w:p>
        </w:tc>
        <w:tc>
          <w:tcPr>
            <w:tcW w:w="709" w:type="dxa"/>
            <w:noWrap/>
            <w:hideMark/>
          </w:tcPr>
          <w:p w14:paraId="108ADE90" w14:textId="77777777" w:rsidR="003C506F" w:rsidRPr="008C49A5" w:rsidRDefault="003C506F" w:rsidP="008C49A5">
            <w:pPr>
              <w:jc w:val="both"/>
              <w:rPr>
                <w:rFonts w:cstheme="minorHAnsi"/>
                <w:b/>
                <w:bCs/>
              </w:rPr>
            </w:pPr>
            <w:r w:rsidRPr="008C49A5">
              <w:rPr>
                <w:rFonts w:cstheme="minorHAnsi"/>
                <w:b/>
                <w:bCs/>
              </w:rPr>
              <w:t>5.87</w:t>
            </w:r>
          </w:p>
        </w:tc>
        <w:tc>
          <w:tcPr>
            <w:tcW w:w="824" w:type="dxa"/>
            <w:noWrap/>
            <w:hideMark/>
          </w:tcPr>
          <w:p w14:paraId="3A88FCD9" w14:textId="77777777" w:rsidR="003C506F" w:rsidRPr="008C49A5" w:rsidRDefault="003C506F" w:rsidP="008C49A5">
            <w:pPr>
              <w:jc w:val="both"/>
              <w:rPr>
                <w:rFonts w:cstheme="minorHAnsi"/>
                <w:b/>
                <w:bCs/>
              </w:rPr>
            </w:pPr>
            <w:r w:rsidRPr="008C49A5">
              <w:rPr>
                <w:rFonts w:cstheme="minorHAnsi"/>
                <w:b/>
                <w:bCs/>
              </w:rPr>
              <w:t>1.31</w:t>
            </w:r>
          </w:p>
        </w:tc>
        <w:tc>
          <w:tcPr>
            <w:tcW w:w="842" w:type="dxa"/>
            <w:noWrap/>
            <w:hideMark/>
          </w:tcPr>
          <w:p w14:paraId="3458F610" w14:textId="77777777" w:rsidR="003C506F" w:rsidRPr="008C49A5" w:rsidRDefault="003C506F" w:rsidP="008C49A5">
            <w:pPr>
              <w:jc w:val="both"/>
              <w:rPr>
                <w:rFonts w:cstheme="minorHAnsi"/>
                <w:b/>
                <w:bCs/>
              </w:rPr>
            </w:pPr>
            <w:r w:rsidRPr="008C49A5">
              <w:rPr>
                <w:rFonts w:cstheme="minorHAnsi"/>
                <w:b/>
                <w:bCs/>
              </w:rPr>
              <w:t>1,089.31</w:t>
            </w:r>
          </w:p>
        </w:tc>
        <w:tc>
          <w:tcPr>
            <w:tcW w:w="767" w:type="dxa"/>
            <w:noWrap/>
            <w:hideMark/>
          </w:tcPr>
          <w:p w14:paraId="53E4867F" w14:textId="77777777" w:rsidR="003C506F" w:rsidRPr="008C49A5" w:rsidRDefault="003C506F" w:rsidP="008C49A5">
            <w:pPr>
              <w:jc w:val="both"/>
              <w:rPr>
                <w:rFonts w:cstheme="minorHAnsi"/>
                <w:b/>
                <w:bCs/>
              </w:rPr>
            </w:pPr>
            <w:r w:rsidRPr="008C49A5">
              <w:rPr>
                <w:rFonts w:cstheme="minorHAnsi"/>
                <w:b/>
                <w:bCs/>
              </w:rPr>
              <w:t>3.73</w:t>
            </w:r>
          </w:p>
        </w:tc>
        <w:tc>
          <w:tcPr>
            <w:tcW w:w="754" w:type="dxa"/>
            <w:noWrap/>
            <w:hideMark/>
          </w:tcPr>
          <w:p w14:paraId="0108A94E" w14:textId="77777777" w:rsidR="003C506F" w:rsidRPr="008C49A5" w:rsidRDefault="003C506F" w:rsidP="008C49A5">
            <w:pPr>
              <w:jc w:val="both"/>
              <w:rPr>
                <w:rFonts w:cstheme="minorHAnsi"/>
                <w:b/>
                <w:bCs/>
              </w:rPr>
            </w:pPr>
            <w:r w:rsidRPr="008C49A5">
              <w:rPr>
                <w:rFonts w:cstheme="minorHAnsi"/>
                <w:b/>
                <w:bCs/>
              </w:rPr>
              <w:t>1,324.21</w:t>
            </w:r>
          </w:p>
        </w:tc>
        <w:tc>
          <w:tcPr>
            <w:tcW w:w="643" w:type="dxa"/>
            <w:noWrap/>
            <w:hideMark/>
          </w:tcPr>
          <w:p w14:paraId="4453CFC8" w14:textId="77777777" w:rsidR="003C506F" w:rsidRPr="008C49A5" w:rsidRDefault="003C506F" w:rsidP="008C49A5">
            <w:pPr>
              <w:jc w:val="both"/>
              <w:rPr>
                <w:rFonts w:cstheme="minorHAnsi"/>
                <w:b/>
                <w:bCs/>
              </w:rPr>
            </w:pPr>
            <w:r w:rsidRPr="008C49A5">
              <w:rPr>
                <w:rFonts w:cstheme="minorHAnsi"/>
                <w:b/>
                <w:bCs/>
              </w:rPr>
              <w:t>10.00</w:t>
            </w:r>
          </w:p>
        </w:tc>
        <w:tc>
          <w:tcPr>
            <w:tcW w:w="1032" w:type="dxa"/>
            <w:noWrap/>
            <w:hideMark/>
          </w:tcPr>
          <w:p w14:paraId="5E56F935" w14:textId="77777777" w:rsidR="003C506F" w:rsidRPr="008C49A5" w:rsidRDefault="003C506F" w:rsidP="008C49A5">
            <w:pPr>
              <w:jc w:val="both"/>
              <w:rPr>
                <w:rFonts w:cstheme="minorHAnsi"/>
                <w:b/>
                <w:bCs/>
              </w:rPr>
            </w:pPr>
            <w:r w:rsidRPr="008C49A5">
              <w:rPr>
                <w:rFonts w:cstheme="minorHAnsi"/>
                <w:b/>
                <w:bCs/>
              </w:rPr>
              <w:t>904.46</w:t>
            </w:r>
          </w:p>
        </w:tc>
        <w:tc>
          <w:tcPr>
            <w:tcW w:w="1170" w:type="dxa"/>
            <w:noWrap/>
            <w:hideMark/>
          </w:tcPr>
          <w:p w14:paraId="49A34B7B" w14:textId="77777777" w:rsidR="003C506F" w:rsidRPr="008C49A5" w:rsidRDefault="003C506F" w:rsidP="008C49A5">
            <w:pPr>
              <w:jc w:val="both"/>
              <w:rPr>
                <w:rFonts w:cstheme="minorHAnsi"/>
                <w:b/>
                <w:bCs/>
              </w:rPr>
            </w:pPr>
            <w:r w:rsidRPr="008C49A5">
              <w:rPr>
                <w:rFonts w:cstheme="minorHAnsi"/>
                <w:b/>
                <w:bCs/>
              </w:rPr>
              <w:t>Overvalued</w:t>
            </w:r>
          </w:p>
        </w:tc>
      </w:tr>
      <w:tr w:rsidR="003C506F" w:rsidRPr="008C49A5" w14:paraId="1F6A47AA" w14:textId="77777777" w:rsidTr="003C506F">
        <w:trPr>
          <w:trHeight w:val="290"/>
        </w:trPr>
        <w:tc>
          <w:tcPr>
            <w:tcW w:w="1235" w:type="dxa"/>
            <w:noWrap/>
            <w:hideMark/>
          </w:tcPr>
          <w:p w14:paraId="710A7719" w14:textId="77777777" w:rsidR="003C506F" w:rsidRPr="008C49A5" w:rsidRDefault="003C506F" w:rsidP="008C49A5">
            <w:pPr>
              <w:jc w:val="both"/>
              <w:rPr>
                <w:rFonts w:cstheme="minorHAnsi"/>
                <w:b/>
                <w:bCs/>
              </w:rPr>
            </w:pPr>
            <w:r w:rsidRPr="008C49A5">
              <w:rPr>
                <w:rFonts w:cstheme="minorHAnsi"/>
                <w:b/>
                <w:bCs/>
              </w:rPr>
              <w:t>Fox Corporation</w:t>
            </w:r>
          </w:p>
        </w:tc>
        <w:tc>
          <w:tcPr>
            <w:tcW w:w="1059" w:type="dxa"/>
            <w:noWrap/>
            <w:hideMark/>
          </w:tcPr>
          <w:p w14:paraId="3987DAE4" w14:textId="3361ECF1" w:rsidR="003C506F" w:rsidRPr="008C49A5" w:rsidRDefault="003C506F" w:rsidP="008C49A5">
            <w:pPr>
              <w:jc w:val="both"/>
              <w:rPr>
                <w:rFonts w:cstheme="minorHAnsi"/>
                <w:b/>
                <w:bCs/>
              </w:rPr>
            </w:pPr>
            <w:r w:rsidRPr="008C49A5">
              <w:rPr>
                <w:rFonts w:cstheme="minorHAnsi"/>
                <w:b/>
                <w:bCs/>
              </w:rPr>
              <w:t>COMMUNICATION SERVICES</w:t>
            </w:r>
          </w:p>
        </w:tc>
        <w:tc>
          <w:tcPr>
            <w:tcW w:w="770" w:type="dxa"/>
            <w:noWrap/>
            <w:hideMark/>
          </w:tcPr>
          <w:p w14:paraId="2BE52A61" w14:textId="77777777" w:rsidR="003C506F" w:rsidRPr="008C49A5" w:rsidRDefault="003C506F" w:rsidP="008C49A5">
            <w:pPr>
              <w:jc w:val="both"/>
              <w:rPr>
                <w:rFonts w:cstheme="minorHAnsi"/>
                <w:b/>
                <w:bCs/>
              </w:rPr>
            </w:pPr>
            <w:r w:rsidRPr="008C49A5">
              <w:rPr>
                <w:rFonts w:cstheme="minorHAnsi"/>
                <w:b/>
                <w:bCs/>
              </w:rPr>
              <w:t>17,220.00</w:t>
            </w:r>
          </w:p>
        </w:tc>
        <w:tc>
          <w:tcPr>
            <w:tcW w:w="709" w:type="dxa"/>
            <w:noWrap/>
            <w:hideMark/>
          </w:tcPr>
          <w:p w14:paraId="1197A501" w14:textId="77777777" w:rsidR="003C506F" w:rsidRPr="008C49A5" w:rsidRDefault="003C506F" w:rsidP="008C49A5">
            <w:pPr>
              <w:jc w:val="both"/>
              <w:rPr>
                <w:rFonts w:cstheme="minorHAnsi"/>
                <w:b/>
                <w:bCs/>
              </w:rPr>
            </w:pPr>
            <w:r w:rsidRPr="008C49A5">
              <w:rPr>
                <w:rFonts w:cstheme="minorHAnsi"/>
                <w:b/>
                <w:bCs/>
              </w:rPr>
              <w:t>11.55</w:t>
            </w:r>
          </w:p>
        </w:tc>
        <w:tc>
          <w:tcPr>
            <w:tcW w:w="824" w:type="dxa"/>
            <w:noWrap/>
            <w:hideMark/>
          </w:tcPr>
          <w:p w14:paraId="01A1E212" w14:textId="77777777" w:rsidR="003C506F" w:rsidRPr="008C49A5" w:rsidRDefault="003C506F" w:rsidP="008C49A5">
            <w:pPr>
              <w:jc w:val="both"/>
              <w:rPr>
                <w:rFonts w:cstheme="minorHAnsi"/>
                <w:b/>
                <w:bCs/>
              </w:rPr>
            </w:pPr>
            <w:r w:rsidRPr="008C49A5">
              <w:rPr>
                <w:rFonts w:cstheme="minorHAnsi"/>
                <w:b/>
                <w:bCs/>
              </w:rPr>
              <w:t>1.07</w:t>
            </w:r>
          </w:p>
        </w:tc>
        <w:tc>
          <w:tcPr>
            <w:tcW w:w="842" w:type="dxa"/>
            <w:noWrap/>
            <w:hideMark/>
          </w:tcPr>
          <w:p w14:paraId="3A6A83B0" w14:textId="77777777" w:rsidR="003C506F" w:rsidRPr="008C49A5" w:rsidRDefault="003C506F" w:rsidP="008C49A5">
            <w:pPr>
              <w:jc w:val="both"/>
              <w:rPr>
                <w:rFonts w:cstheme="minorHAnsi"/>
                <w:b/>
                <w:bCs/>
              </w:rPr>
            </w:pPr>
            <w:r w:rsidRPr="008C49A5">
              <w:rPr>
                <w:rFonts w:cstheme="minorHAnsi"/>
                <w:b/>
                <w:bCs/>
              </w:rPr>
              <w:t>4,443.00</w:t>
            </w:r>
          </w:p>
        </w:tc>
        <w:tc>
          <w:tcPr>
            <w:tcW w:w="767" w:type="dxa"/>
            <w:noWrap/>
            <w:hideMark/>
          </w:tcPr>
          <w:p w14:paraId="234AC4CB" w14:textId="77777777" w:rsidR="003C506F" w:rsidRPr="008C49A5" w:rsidRDefault="003C506F" w:rsidP="008C49A5">
            <w:pPr>
              <w:jc w:val="both"/>
              <w:rPr>
                <w:rFonts w:cstheme="minorHAnsi"/>
                <w:b/>
                <w:bCs/>
              </w:rPr>
            </w:pPr>
            <w:r w:rsidRPr="008C49A5">
              <w:rPr>
                <w:rFonts w:cstheme="minorHAnsi"/>
                <w:b/>
                <w:bCs/>
              </w:rPr>
              <w:t>-7.69</w:t>
            </w:r>
          </w:p>
        </w:tc>
        <w:tc>
          <w:tcPr>
            <w:tcW w:w="754" w:type="dxa"/>
            <w:noWrap/>
            <w:hideMark/>
          </w:tcPr>
          <w:p w14:paraId="066C5420" w14:textId="77777777" w:rsidR="003C506F" w:rsidRPr="008C49A5" w:rsidRDefault="003C506F" w:rsidP="008C49A5">
            <w:pPr>
              <w:jc w:val="both"/>
              <w:rPr>
                <w:rFonts w:cstheme="minorHAnsi"/>
                <w:b/>
                <w:bCs/>
              </w:rPr>
            </w:pPr>
            <w:r w:rsidRPr="008C49A5">
              <w:rPr>
                <w:rFonts w:cstheme="minorHAnsi"/>
                <w:b/>
                <w:bCs/>
              </w:rPr>
              <w:t>3,387.35</w:t>
            </w:r>
          </w:p>
        </w:tc>
        <w:tc>
          <w:tcPr>
            <w:tcW w:w="643" w:type="dxa"/>
            <w:noWrap/>
            <w:hideMark/>
          </w:tcPr>
          <w:p w14:paraId="04E401D5" w14:textId="77777777" w:rsidR="003C506F" w:rsidRPr="008C49A5" w:rsidRDefault="003C506F" w:rsidP="008C49A5">
            <w:pPr>
              <w:jc w:val="both"/>
              <w:rPr>
                <w:rFonts w:cstheme="minorHAnsi"/>
                <w:b/>
                <w:bCs/>
              </w:rPr>
            </w:pPr>
            <w:r w:rsidRPr="008C49A5">
              <w:rPr>
                <w:rFonts w:cstheme="minorHAnsi"/>
                <w:b/>
                <w:bCs/>
              </w:rPr>
              <w:t>10.00</w:t>
            </w:r>
          </w:p>
        </w:tc>
        <w:tc>
          <w:tcPr>
            <w:tcW w:w="1032" w:type="dxa"/>
            <w:noWrap/>
            <w:hideMark/>
          </w:tcPr>
          <w:p w14:paraId="3A26F051" w14:textId="77777777" w:rsidR="003C506F" w:rsidRPr="008C49A5" w:rsidRDefault="003C506F" w:rsidP="008C49A5">
            <w:pPr>
              <w:jc w:val="both"/>
              <w:rPr>
                <w:rFonts w:cstheme="minorHAnsi"/>
                <w:b/>
                <w:bCs/>
              </w:rPr>
            </w:pPr>
            <w:r w:rsidRPr="008C49A5">
              <w:rPr>
                <w:rFonts w:cstheme="minorHAnsi"/>
                <w:b/>
                <w:bCs/>
              </w:rPr>
              <w:t>2313.61</w:t>
            </w:r>
          </w:p>
        </w:tc>
        <w:tc>
          <w:tcPr>
            <w:tcW w:w="1170" w:type="dxa"/>
            <w:noWrap/>
            <w:hideMark/>
          </w:tcPr>
          <w:p w14:paraId="02DE2627" w14:textId="77777777" w:rsidR="003C506F" w:rsidRPr="008C49A5" w:rsidRDefault="003C506F" w:rsidP="008C49A5">
            <w:pPr>
              <w:jc w:val="both"/>
              <w:rPr>
                <w:rFonts w:cstheme="minorHAnsi"/>
                <w:b/>
                <w:bCs/>
              </w:rPr>
            </w:pPr>
            <w:r w:rsidRPr="008C49A5">
              <w:rPr>
                <w:rFonts w:cstheme="minorHAnsi"/>
                <w:b/>
                <w:bCs/>
              </w:rPr>
              <w:t>Overvalued</w:t>
            </w:r>
          </w:p>
        </w:tc>
      </w:tr>
    </w:tbl>
    <w:p w14:paraId="4CEB420B" w14:textId="77777777" w:rsidR="00FC719B" w:rsidRPr="008C49A5" w:rsidRDefault="00FC719B" w:rsidP="008C49A5">
      <w:pPr>
        <w:ind w:left="360"/>
        <w:jc w:val="both"/>
        <w:rPr>
          <w:rFonts w:cstheme="minorHAnsi"/>
          <w:b/>
          <w:bCs/>
        </w:rPr>
      </w:pPr>
    </w:p>
    <w:p w14:paraId="296AF7A7" w14:textId="77777777" w:rsidR="00FC719B" w:rsidRPr="00FC719B" w:rsidRDefault="00FC719B" w:rsidP="008C49A5">
      <w:pPr>
        <w:jc w:val="both"/>
        <w:rPr>
          <w:rFonts w:cstheme="minorHAnsi"/>
        </w:rPr>
      </w:pPr>
      <w:r w:rsidRPr="00FC719B">
        <w:rPr>
          <w:rFonts w:cstheme="minorHAnsi"/>
        </w:rPr>
        <w:t>Based on the DCF valuation model with adjustments for positive market conditions, we have determined the following:</w:t>
      </w:r>
    </w:p>
    <w:p w14:paraId="07AB8D59" w14:textId="77777777" w:rsidR="00FC719B" w:rsidRPr="00FC719B" w:rsidRDefault="00FC719B" w:rsidP="008C49A5">
      <w:pPr>
        <w:numPr>
          <w:ilvl w:val="0"/>
          <w:numId w:val="36"/>
        </w:numPr>
        <w:jc w:val="both"/>
        <w:rPr>
          <w:rFonts w:cstheme="minorHAnsi"/>
        </w:rPr>
      </w:pPr>
      <w:r w:rsidRPr="00FC719B">
        <w:rPr>
          <w:rFonts w:cstheme="minorHAnsi"/>
          <w:b/>
          <w:bCs/>
        </w:rPr>
        <w:t>Atlanticus Holdings Corp (Financial Sector)</w:t>
      </w:r>
      <w:r w:rsidRPr="00FC719B">
        <w:rPr>
          <w:rFonts w:cstheme="minorHAnsi"/>
        </w:rPr>
        <w:t xml:space="preserve"> is currently </w:t>
      </w:r>
      <w:r w:rsidRPr="00FC719B">
        <w:rPr>
          <w:rFonts w:cstheme="minorHAnsi"/>
          <w:b/>
          <w:bCs/>
        </w:rPr>
        <w:t>undervalued</w:t>
      </w:r>
      <w:r w:rsidRPr="00FC719B">
        <w:rPr>
          <w:rFonts w:cstheme="minorHAnsi"/>
        </w:rPr>
        <w:t>. Its adjusted present value using DCF ($857.02M) is greater than its market capitalization ($492.58M).</w:t>
      </w:r>
    </w:p>
    <w:p w14:paraId="5B5A5457" w14:textId="77777777" w:rsidR="00FC719B" w:rsidRPr="00FC719B" w:rsidRDefault="00FC719B" w:rsidP="008C49A5">
      <w:pPr>
        <w:numPr>
          <w:ilvl w:val="0"/>
          <w:numId w:val="36"/>
        </w:numPr>
        <w:jc w:val="both"/>
        <w:rPr>
          <w:rFonts w:cstheme="minorHAnsi"/>
        </w:rPr>
      </w:pPr>
      <w:r w:rsidRPr="00FC719B">
        <w:rPr>
          <w:rFonts w:cstheme="minorHAnsi"/>
          <w:b/>
          <w:bCs/>
        </w:rPr>
        <w:t>Diebold Nixdorf Inc (Technology Sector)</w:t>
      </w:r>
      <w:r w:rsidRPr="00FC719B">
        <w:rPr>
          <w:rFonts w:cstheme="minorHAnsi"/>
        </w:rPr>
        <w:t xml:space="preserve"> is currently </w:t>
      </w:r>
      <w:r w:rsidRPr="00FC719B">
        <w:rPr>
          <w:rFonts w:cstheme="minorHAnsi"/>
          <w:b/>
          <w:bCs/>
        </w:rPr>
        <w:t>overvalued</w:t>
      </w:r>
      <w:r w:rsidRPr="00FC719B">
        <w:rPr>
          <w:rFonts w:cstheme="minorHAnsi"/>
        </w:rPr>
        <w:t>. Its adjusted present value using DCF ($685.64M) is less than its market capitalization ($3,390.00M).</w:t>
      </w:r>
    </w:p>
    <w:p w14:paraId="3362729C" w14:textId="79CDB088" w:rsidR="00FC719B" w:rsidRPr="00FC719B" w:rsidRDefault="00FC719B" w:rsidP="008C49A5">
      <w:pPr>
        <w:numPr>
          <w:ilvl w:val="0"/>
          <w:numId w:val="36"/>
        </w:numPr>
        <w:jc w:val="both"/>
        <w:rPr>
          <w:rFonts w:cstheme="minorHAnsi"/>
        </w:rPr>
      </w:pPr>
      <w:r w:rsidRPr="00FC719B">
        <w:rPr>
          <w:rFonts w:cstheme="minorHAnsi"/>
          <w:b/>
          <w:bCs/>
        </w:rPr>
        <w:lastRenderedPageBreak/>
        <w:t>Ready Capital Corp (Real Estate Sector)</w:t>
      </w:r>
      <w:r w:rsidRPr="00FC719B">
        <w:rPr>
          <w:rFonts w:cstheme="minorHAnsi"/>
        </w:rPr>
        <w:t xml:space="preserve"> is currently </w:t>
      </w:r>
      <w:r w:rsidRPr="00FC719B">
        <w:rPr>
          <w:rFonts w:cstheme="minorHAnsi"/>
          <w:b/>
          <w:bCs/>
        </w:rPr>
        <w:t>overvalued</w:t>
      </w:r>
      <w:r w:rsidRPr="00FC719B">
        <w:rPr>
          <w:rFonts w:cstheme="minorHAnsi"/>
        </w:rPr>
        <w:t>. Its adjusted present value using DCF ($904.46M) is less than its market capitalization ($1,570.00M).</w:t>
      </w:r>
    </w:p>
    <w:p w14:paraId="62D39ED1" w14:textId="7265E7E1" w:rsidR="00FC719B" w:rsidRPr="00FC719B" w:rsidRDefault="00FC719B" w:rsidP="008C49A5">
      <w:pPr>
        <w:numPr>
          <w:ilvl w:val="0"/>
          <w:numId w:val="36"/>
        </w:numPr>
        <w:jc w:val="both"/>
        <w:rPr>
          <w:rFonts w:cstheme="minorHAnsi"/>
        </w:rPr>
      </w:pPr>
      <w:r w:rsidRPr="00FC719B">
        <w:rPr>
          <w:rFonts w:cstheme="minorHAnsi"/>
          <w:b/>
          <w:bCs/>
        </w:rPr>
        <w:t>Fox Corporation (Communication Services Sector)</w:t>
      </w:r>
      <w:r w:rsidRPr="00FC719B">
        <w:rPr>
          <w:rFonts w:cstheme="minorHAnsi"/>
        </w:rPr>
        <w:t xml:space="preserve"> is currently </w:t>
      </w:r>
      <w:r w:rsidRPr="00FC719B">
        <w:rPr>
          <w:rFonts w:cstheme="minorHAnsi"/>
          <w:b/>
          <w:bCs/>
        </w:rPr>
        <w:t>overvalued</w:t>
      </w:r>
      <w:r w:rsidRPr="00FC719B">
        <w:rPr>
          <w:rFonts w:cstheme="minorHAnsi"/>
        </w:rPr>
        <w:t>. Its adjusted present value using DCF ($2,313.61M) is less than its market capitalization ($17,220.00M).</w:t>
      </w:r>
      <w:r w:rsidR="004B2404" w:rsidRPr="008C49A5">
        <w:rPr>
          <w:rFonts w:cstheme="minorHAnsi"/>
          <w:noProof/>
        </w:rPr>
        <w:t xml:space="preserve"> </w:t>
      </w:r>
    </w:p>
    <w:p w14:paraId="6BDAF476" w14:textId="1F4BE756" w:rsidR="00FC719B" w:rsidRPr="008C49A5" w:rsidRDefault="004B2404" w:rsidP="008C49A5">
      <w:pPr>
        <w:ind w:left="360"/>
        <w:jc w:val="both"/>
        <w:rPr>
          <w:rFonts w:cstheme="minorHAnsi"/>
        </w:rPr>
      </w:pPr>
      <w:r w:rsidRPr="008C49A5">
        <w:rPr>
          <w:rFonts w:cstheme="minorHAnsi"/>
          <w:noProof/>
        </w:rPr>
        <w:drawing>
          <wp:anchor distT="0" distB="0" distL="114300" distR="114300" simplePos="0" relativeHeight="251661312" behindDoc="0" locked="0" layoutInCell="1" allowOverlap="1" wp14:anchorId="16753B2C" wp14:editId="425726E5">
            <wp:simplePos x="0" y="0"/>
            <wp:positionH relativeFrom="margin">
              <wp:align>center</wp:align>
            </wp:positionH>
            <wp:positionV relativeFrom="paragraph">
              <wp:posOffset>6985</wp:posOffset>
            </wp:positionV>
            <wp:extent cx="3625850" cy="2362200"/>
            <wp:effectExtent l="0" t="0" r="0" b="0"/>
            <wp:wrapSquare wrapText="bothSides"/>
            <wp:docPr id="1982939790" name="Chart 1">
              <a:extLst xmlns:a="http://schemas.openxmlformats.org/drawingml/2006/main">
                <a:ext uri="{FF2B5EF4-FFF2-40B4-BE49-F238E27FC236}">
                  <a16:creationId xmlns:a16="http://schemas.microsoft.com/office/drawing/2014/main" id="{27DB8F08-16AB-F6E4-DF8E-5B9B83B34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AE13887" w14:textId="5A74B429" w:rsidR="00FC719B" w:rsidRPr="008C49A5" w:rsidRDefault="00FC719B" w:rsidP="008C49A5">
      <w:pPr>
        <w:jc w:val="both"/>
        <w:rPr>
          <w:rFonts w:cstheme="minorHAnsi"/>
          <w:b/>
          <w:bCs/>
        </w:rPr>
      </w:pPr>
    </w:p>
    <w:p w14:paraId="4C7F8A4F" w14:textId="5B7E30CC" w:rsidR="00FC719B" w:rsidRPr="008C49A5" w:rsidRDefault="00FC719B" w:rsidP="008C49A5">
      <w:pPr>
        <w:jc w:val="both"/>
        <w:rPr>
          <w:rFonts w:cstheme="minorHAnsi"/>
          <w:b/>
          <w:bCs/>
        </w:rPr>
      </w:pPr>
    </w:p>
    <w:p w14:paraId="455932E8" w14:textId="0962CA40" w:rsidR="004B2404" w:rsidRPr="008C49A5" w:rsidRDefault="004B2404" w:rsidP="008C49A5">
      <w:pPr>
        <w:jc w:val="both"/>
        <w:rPr>
          <w:rFonts w:cstheme="minorHAnsi"/>
          <w:b/>
          <w:bCs/>
        </w:rPr>
      </w:pPr>
    </w:p>
    <w:p w14:paraId="1974DFF9" w14:textId="18FC3D8A" w:rsidR="004B2404" w:rsidRPr="008C49A5" w:rsidRDefault="004B2404" w:rsidP="008C49A5">
      <w:pPr>
        <w:jc w:val="both"/>
        <w:rPr>
          <w:rFonts w:cstheme="minorHAnsi"/>
          <w:b/>
          <w:bCs/>
        </w:rPr>
      </w:pPr>
    </w:p>
    <w:p w14:paraId="1002C730" w14:textId="60F2B97C" w:rsidR="004B2404" w:rsidRPr="008C49A5" w:rsidRDefault="004B2404" w:rsidP="008C49A5">
      <w:pPr>
        <w:jc w:val="both"/>
        <w:rPr>
          <w:rFonts w:cstheme="minorHAnsi"/>
          <w:b/>
          <w:bCs/>
        </w:rPr>
      </w:pPr>
    </w:p>
    <w:p w14:paraId="7ED0A4DD" w14:textId="5D65C41A" w:rsidR="004B2404" w:rsidRPr="008C49A5" w:rsidRDefault="004B2404" w:rsidP="008C49A5">
      <w:pPr>
        <w:jc w:val="both"/>
        <w:rPr>
          <w:rFonts w:cstheme="minorHAnsi"/>
          <w:b/>
          <w:bCs/>
        </w:rPr>
      </w:pPr>
    </w:p>
    <w:p w14:paraId="4A5BB59B" w14:textId="51B02E77" w:rsidR="004B2404" w:rsidRPr="008C49A5" w:rsidRDefault="004B2404" w:rsidP="008C49A5">
      <w:pPr>
        <w:jc w:val="both"/>
        <w:rPr>
          <w:rFonts w:cstheme="minorHAnsi"/>
          <w:b/>
          <w:bCs/>
        </w:rPr>
      </w:pPr>
    </w:p>
    <w:p w14:paraId="73188C5D" w14:textId="2ABD4D2D" w:rsidR="004B2404" w:rsidRPr="008C49A5" w:rsidRDefault="004B2404" w:rsidP="008C49A5">
      <w:pPr>
        <w:jc w:val="both"/>
        <w:rPr>
          <w:rFonts w:cstheme="minorHAnsi"/>
          <w:b/>
          <w:bCs/>
        </w:rPr>
      </w:pPr>
      <w:r w:rsidRPr="008C49A5">
        <w:rPr>
          <w:rFonts w:cstheme="minorHAnsi"/>
          <w:noProof/>
        </w:rPr>
        <w:drawing>
          <wp:anchor distT="0" distB="0" distL="114300" distR="114300" simplePos="0" relativeHeight="251662336" behindDoc="0" locked="0" layoutInCell="1" allowOverlap="1" wp14:anchorId="585AA569" wp14:editId="00C8F3A1">
            <wp:simplePos x="0" y="0"/>
            <wp:positionH relativeFrom="margin">
              <wp:align>center</wp:align>
            </wp:positionH>
            <wp:positionV relativeFrom="paragraph">
              <wp:posOffset>186055</wp:posOffset>
            </wp:positionV>
            <wp:extent cx="3883025" cy="2244725"/>
            <wp:effectExtent l="0" t="0" r="3175" b="3175"/>
            <wp:wrapSquare wrapText="bothSides"/>
            <wp:docPr id="267682428" name="Chart 1">
              <a:extLst xmlns:a="http://schemas.openxmlformats.org/drawingml/2006/main">
                <a:ext uri="{FF2B5EF4-FFF2-40B4-BE49-F238E27FC236}">
                  <a16:creationId xmlns:a16="http://schemas.microsoft.com/office/drawing/2014/main" id="{A0291336-A2E4-9605-F37C-3235B08CC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273F8F9" w14:textId="13F4A07B" w:rsidR="004B2404" w:rsidRPr="008C49A5" w:rsidRDefault="004B2404" w:rsidP="008C49A5">
      <w:pPr>
        <w:jc w:val="both"/>
        <w:rPr>
          <w:rFonts w:cstheme="minorHAnsi"/>
          <w:b/>
          <w:bCs/>
        </w:rPr>
      </w:pPr>
    </w:p>
    <w:p w14:paraId="11FE3524" w14:textId="77777777" w:rsidR="004B2404" w:rsidRPr="008C49A5" w:rsidRDefault="004B2404" w:rsidP="008C49A5">
      <w:pPr>
        <w:jc w:val="both"/>
        <w:rPr>
          <w:rFonts w:cstheme="minorHAnsi"/>
          <w:b/>
          <w:bCs/>
        </w:rPr>
      </w:pPr>
    </w:p>
    <w:p w14:paraId="7CA0C45A" w14:textId="77777777" w:rsidR="004B2404" w:rsidRPr="008C49A5" w:rsidRDefault="004B2404" w:rsidP="008C49A5">
      <w:pPr>
        <w:jc w:val="both"/>
        <w:rPr>
          <w:rFonts w:cstheme="minorHAnsi"/>
          <w:b/>
          <w:bCs/>
        </w:rPr>
      </w:pPr>
    </w:p>
    <w:p w14:paraId="2A326D25" w14:textId="77777777" w:rsidR="004B2404" w:rsidRPr="008C49A5" w:rsidRDefault="004B2404" w:rsidP="008C49A5">
      <w:pPr>
        <w:jc w:val="both"/>
        <w:rPr>
          <w:rFonts w:cstheme="minorHAnsi"/>
          <w:b/>
          <w:bCs/>
        </w:rPr>
      </w:pPr>
    </w:p>
    <w:p w14:paraId="5B3F3D0B" w14:textId="77777777" w:rsidR="004B2404" w:rsidRPr="008C49A5" w:rsidRDefault="004B2404" w:rsidP="008C49A5">
      <w:pPr>
        <w:jc w:val="both"/>
        <w:rPr>
          <w:rFonts w:cstheme="minorHAnsi"/>
          <w:b/>
          <w:bCs/>
        </w:rPr>
      </w:pPr>
    </w:p>
    <w:p w14:paraId="6E11EA60" w14:textId="77777777" w:rsidR="004B2404" w:rsidRPr="008C49A5" w:rsidRDefault="004B2404" w:rsidP="008C49A5">
      <w:pPr>
        <w:jc w:val="both"/>
        <w:rPr>
          <w:rFonts w:cstheme="minorHAnsi"/>
          <w:b/>
          <w:bCs/>
        </w:rPr>
      </w:pPr>
    </w:p>
    <w:p w14:paraId="4145397A" w14:textId="77777777" w:rsidR="004B2404" w:rsidRPr="008C49A5" w:rsidRDefault="004B2404" w:rsidP="008C49A5">
      <w:pPr>
        <w:jc w:val="both"/>
        <w:rPr>
          <w:rFonts w:cstheme="minorHAnsi"/>
          <w:b/>
          <w:bCs/>
        </w:rPr>
      </w:pPr>
    </w:p>
    <w:p w14:paraId="7652EC43" w14:textId="77777777" w:rsidR="004B2404" w:rsidRPr="008C49A5" w:rsidRDefault="004B2404" w:rsidP="008C49A5">
      <w:pPr>
        <w:jc w:val="both"/>
        <w:rPr>
          <w:rFonts w:cstheme="minorHAnsi"/>
          <w:b/>
          <w:bCs/>
        </w:rPr>
      </w:pPr>
    </w:p>
    <w:p w14:paraId="0EEF4FDE" w14:textId="77777777" w:rsidR="004B2404" w:rsidRPr="008C49A5" w:rsidRDefault="004B2404" w:rsidP="008C49A5">
      <w:pPr>
        <w:jc w:val="both"/>
        <w:rPr>
          <w:rFonts w:cstheme="minorHAnsi"/>
          <w:b/>
          <w:bCs/>
        </w:rPr>
      </w:pPr>
    </w:p>
    <w:p w14:paraId="1BEAA487" w14:textId="663EB695" w:rsidR="00FC719B" w:rsidRPr="002B7095" w:rsidRDefault="00FC719B" w:rsidP="008C49A5">
      <w:pPr>
        <w:jc w:val="both"/>
        <w:rPr>
          <w:rFonts w:cstheme="minorHAnsi"/>
          <w:b/>
          <w:bCs/>
        </w:rPr>
      </w:pPr>
      <w:r w:rsidRPr="002B7095">
        <w:rPr>
          <w:rFonts w:cstheme="minorHAnsi"/>
          <w:b/>
          <w:bCs/>
        </w:rPr>
        <w:t xml:space="preserve">Impact </w:t>
      </w:r>
      <w:r w:rsidRPr="008C49A5">
        <w:rPr>
          <w:rFonts w:cstheme="minorHAnsi"/>
          <w:b/>
          <w:bCs/>
        </w:rPr>
        <w:t>On Companies</w:t>
      </w:r>
      <w:r w:rsidRPr="002B7095">
        <w:rPr>
          <w:rFonts w:cstheme="minorHAnsi"/>
          <w:b/>
          <w:bCs/>
        </w:rPr>
        <w:t>:</w:t>
      </w:r>
    </w:p>
    <w:p w14:paraId="13B698ED" w14:textId="77777777" w:rsidR="00FC719B" w:rsidRPr="002B7095" w:rsidRDefault="00FC719B" w:rsidP="008C49A5">
      <w:pPr>
        <w:numPr>
          <w:ilvl w:val="0"/>
          <w:numId w:val="34"/>
        </w:numPr>
        <w:jc w:val="both"/>
        <w:rPr>
          <w:rFonts w:cstheme="minorHAnsi"/>
        </w:rPr>
      </w:pPr>
      <w:r w:rsidRPr="002B7095">
        <w:rPr>
          <w:rFonts w:cstheme="minorHAnsi"/>
        </w:rPr>
        <w:t>Atlanticus Holdings Corp may benefit from stable market conditions, which could improve consumer spending and financial health, positively affecting its profitability.</w:t>
      </w:r>
    </w:p>
    <w:p w14:paraId="5F157351" w14:textId="77777777" w:rsidR="00FC719B" w:rsidRPr="002B7095" w:rsidRDefault="00FC719B" w:rsidP="008C49A5">
      <w:pPr>
        <w:numPr>
          <w:ilvl w:val="0"/>
          <w:numId w:val="34"/>
        </w:numPr>
        <w:jc w:val="both"/>
        <w:rPr>
          <w:rFonts w:cstheme="minorHAnsi"/>
        </w:rPr>
      </w:pPr>
      <w:r w:rsidRPr="002B7095">
        <w:rPr>
          <w:rFonts w:cstheme="minorHAnsi"/>
        </w:rPr>
        <w:t>Diebold Nixdorf Inc could face challenges if market conditions worsen, as technological advancements and competition could erode its market share.</w:t>
      </w:r>
    </w:p>
    <w:p w14:paraId="54F5E59B" w14:textId="77777777" w:rsidR="00FC719B" w:rsidRPr="002B7095" w:rsidRDefault="00FC719B" w:rsidP="008C49A5">
      <w:pPr>
        <w:numPr>
          <w:ilvl w:val="0"/>
          <w:numId w:val="34"/>
        </w:numPr>
        <w:jc w:val="both"/>
        <w:rPr>
          <w:rFonts w:cstheme="minorHAnsi"/>
        </w:rPr>
      </w:pPr>
      <w:r w:rsidRPr="002B7095">
        <w:rPr>
          <w:rFonts w:cstheme="minorHAnsi"/>
        </w:rPr>
        <w:t>Ready Capital Corp is sensitive to interest rates and real estate market trends, which could impact its future GP and overall valuation.</w:t>
      </w:r>
    </w:p>
    <w:p w14:paraId="48D59C78" w14:textId="687B1252" w:rsidR="004A4B76" w:rsidRPr="004A4B76" w:rsidRDefault="00FC719B" w:rsidP="008C49A5">
      <w:pPr>
        <w:numPr>
          <w:ilvl w:val="0"/>
          <w:numId w:val="34"/>
        </w:numPr>
        <w:jc w:val="both"/>
        <w:rPr>
          <w:rFonts w:cstheme="minorHAnsi"/>
        </w:rPr>
      </w:pPr>
      <w:r w:rsidRPr="002B7095">
        <w:rPr>
          <w:rFonts w:cstheme="minorHAnsi"/>
        </w:rPr>
        <w:t>Fox Corporation is heavily influenced by advertising revenues, which can fluctuate with economic conditions, impacting its financial stability</w:t>
      </w:r>
      <w:r w:rsidR="004A4B76">
        <w:rPr>
          <w:rFonts w:cstheme="minorHAnsi"/>
        </w:rPr>
        <w:t>.</w:t>
      </w:r>
    </w:p>
    <w:p w14:paraId="4AAF193B" w14:textId="77777777" w:rsidR="00FC719B" w:rsidRPr="004A4B76" w:rsidRDefault="00FC719B" w:rsidP="008C49A5">
      <w:pPr>
        <w:jc w:val="both"/>
        <w:rPr>
          <w:rFonts w:ascii="Algerian" w:hAnsi="Algerian" w:cstheme="minorHAnsi"/>
          <w:b/>
          <w:bCs/>
        </w:rPr>
      </w:pPr>
      <w:r w:rsidRPr="004A4B76">
        <w:rPr>
          <w:rFonts w:ascii="Algerian" w:hAnsi="Algerian" w:cstheme="minorHAnsi"/>
          <w:b/>
          <w:bCs/>
        </w:rPr>
        <w:lastRenderedPageBreak/>
        <w:t>Justification</w:t>
      </w:r>
    </w:p>
    <w:p w14:paraId="3A67B7D0" w14:textId="77777777" w:rsidR="00FC719B" w:rsidRPr="008C49A5" w:rsidRDefault="00FC719B" w:rsidP="008C49A5">
      <w:pPr>
        <w:jc w:val="both"/>
        <w:rPr>
          <w:rFonts w:cstheme="minorHAnsi"/>
        </w:rPr>
      </w:pPr>
      <w:r w:rsidRPr="008C49A5">
        <w:rPr>
          <w:rFonts w:cstheme="minorHAnsi"/>
        </w:rPr>
        <w:t>Market conditions are crucial because they directly influence a company's operational costs, revenue growth, and investment capacity. For instance, in a low-interest-rate environment, companies can finance expansions and operations more cheaply, leading to higher profitability and potentially higher valuations. Conversely, high inflation or economic instability can increase costs and reduce consumer spending, negatively impacting profitability and valuation.</w:t>
      </w:r>
    </w:p>
    <w:p w14:paraId="555A3169" w14:textId="77D512EF" w:rsidR="00FC719B" w:rsidRPr="008C49A5" w:rsidRDefault="00FC719B" w:rsidP="008C49A5">
      <w:pPr>
        <w:jc w:val="both"/>
        <w:rPr>
          <w:rFonts w:cstheme="minorHAnsi"/>
        </w:rPr>
      </w:pPr>
      <w:r w:rsidRPr="008C49A5">
        <w:rPr>
          <w:rFonts w:cstheme="minorHAnsi"/>
        </w:rPr>
        <w:t>Incorporating market conditions into the valuation model can provide a more nuanced and accurate assessment of a company’s future value, reflecting the broader economic and financial environment in which it operates.</w:t>
      </w:r>
    </w:p>
    <w:p w14:paraId="38F6E5D8" w14:textId="54464CCA" w:rsidR="00623A3A" w:rsidRPr="004A4B76" w:rsidRDefault="008C49A5" w:rsidP="008C49A5">
      <w:pPr>
        <w:jc w:val="both"/>
        <w:rPr>
          <w:rFonts w:ascii="Algerian" w:hAnsi="Algerian" w:cstheme="minorHAnsi"/>
          <w:b/>
          <w:bCs/>
        </w:rPr>
      </w:pPr>
      <w:r w:rsidRPr="004A4B76">
        <w:rPr>
          <w:rFonts w:ascii="Algerian" w:hAnsi="Algerian" w:cstheme="minorHAnsi"/>
          <w:b/>
          <w:bCs/>
        </w:rPr>
        <w:t>CONCLUSION</w:t>
      </w:r>
    </w:p>
    <w:p w14:paraId="2E9BC7DB" w14:textId="77777777" w:rsidR="008C49A5" w:rsidRPr="008C49A5" w:rsidRDefault="008C49A5" w:rsidP="008C49A5">
      <w:pPr>
        <w:jc w:val="both"/>
        <w:rPr>
          <w:rFonts w:cstheme="minorHAnsi"/>
        </w:rPr>
      </w:pPr>
      <w:r w:rsidRPr="008C49A5">
        <w:rPr>
          <w:rFonts w:cstheme="minorHAnsi"/>
        </w:rPr>
        <w:t>The valuation model projects that Atlanticus Holdings Corp, Diebold Nixdorf Inc, Ready Capital Corp, and Nexstar Media Group, Inc. will experience varying degrees of growth over the next four years. These projections are based on their historical gross profit growth rates and sector trends, offering insights into potential investment opportunities. By identifying undervalued companies, investors can make informed decisions to capitalize on future market appreciation.</w:t>
      </w:r>
    </w:p>
    <w:p w14:paraId="2989DEA2" w14:textId="77777777" w:rsidR="008C49A5" w:rsidRPr="008C49A5" w:rsidRDefault="008C49A5" w:rsidP="008C49A5">
      <w:pPr>
        <w:jc w:val="both"/>
        <w:rPr>
          <w:rFonts w:cstheme="minorHAnsi"/>
        </w:rPr>
      </w:pPr>
    </w:p>
    <w:p w14:paraId="25D42CFF" w14:textId="77777777" w:rsidR="00623A3A" w:rsidRPr="00623A3A" w:rsidRDefault="00623A3A" w:rsidP="008C49A5">
      <w:pPr>
        <w:ind w:left="360"/>
        <w:jc w:val="both"/>
        <w:rPr>
          <w:rFonts w:cstheme="minorHAnsi"/>
        </w:rPr>
      </w:pPr>
    </w:p>
    <w:p w14:paraId="7701585E" w14:textId="77777777" w:rsidR="0019233C" w:rsidRPr="008C49A5" w:rsidRDefault="0019233C" w:rsidP="008C49A5">
      <w:pPr>
        <w:jc w:val="both"/>
        <w:rPr>
          <w:rFonts w:cstheme="minorHAnsi"/>
        </w:rPr>
      </w:pPr>
    </w:p>
    <w:p w14:paraId="420C115E" w14:textId="77777777" w:rsidR="00465D94" w:rsidRPr="008C49A5" w:rsidRDefault="00465D94" w:rsidP="008C49A5">
      <w:pPr>
        <w:jc w:val="both"/>
        <w:rPr>
          <w:rFonts w:cstheme="minorHAnsi"/>
        </w:rPr>
      </w:pPr>
    </w:p>
    <w:sectPr w:rsidR="00465D94" w:rsidRPr="008C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2742"/>
    <w:multiLevelType w:val="multilevel"/>
    <w:tmpl w:val="B52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14BA"/>
    <w:multiLevelType w:val="multilevel"/>
    <w:tmpl w:val="AAD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EE4"/>
    <w:multiLevelType w:val="multilevel"/>
    <w:tmpl w:val="832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80277"/>
    <w:multiLevelType w:val="multilevel"/>
    <w:tmpl w:val="752C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7CB"/>
    <w:multiLevelType w:val="multilevel"/>
    <w:tmpl w:val="649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0711A"/>
    <w:multiLevelType w:val="hybridMultilevel"/>
    <w:tmpl w:val="A94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43496"/>
    <w:multiLevelType w:val="multilevel"/>
    <w:tmpl w:val="1E4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B0A65"/>
    <w:multiLevelType w:val="multilevel"/>
    <w:tmpl w:val="11E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82116"/>
    <w:multiLevelType w:val="multilevel"/>
    <w:tmpl w:val="EBCC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C56D6"/>
    <w:multiLevelType w:val="multilevel"/>
    <w:tmpl w:val="479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D2AE9"/>
    <w:multiLevelType w:val="multilevel"/>
    <w:tmpl w:val="E5D4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F7368"/>
    <w:multiLevelType w:val="multilevel"/>
    <w:tmpl w:val="57E45A7C"/>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C557D"/>
    <w:multiLevelType w:val="multilevel"/>
    <w:tmpl w:val="D556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123AB"/>
    <w:multiLevelType w:val="hybridMultilevel"/>
    <w:tmpl w:val="0030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63BB6"/>
    <w:multiLevelType w:val="multilevel"/>
    <w:tmpl w:val="D90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00A40"/>
    <w:multiLevelType w:val="multilevel"/>
    <w:tmpl w:val="B440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10D3F"/>
    <w:multiLevelType w:val="multilevel"/>
    <w:tmpl w:val="9FD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11163"/>
    <w:multiLevelType w:val="multilevel"/>
    <w:tmpl w:val="70E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62F79"/>
    <w:multiLevelType w:val="hybridMultilevel"/>
    <w:tmpl w:val="F9F6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E6E52"/>
    <w:multiLevelType w:val="multilevel"/>
    <w:tmpl w:val="2FE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B4481"/>
    <w:multiLevelType w:val="multilevel"/>
    <w:tmpl w:val="821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359C2"/>
    <w:multiLevelType w:val="multilevel"/>
    <w:tmpl w:val="774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06933"/>
    <w:multiLevelType w:val="multilevel"/>
    <w:tmpl w:val="478E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56E15"/>
    <w:multiLevelType w:val="multilevel"/>
    <w:tmpl w:val="D84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22665"/>
    <w:multiLevelType w:val="multilevel"/>
    <w:tmpl w:val="5EF8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D7FE6"/>
    <w:multiLevelType w:val="hybridMultilevel"/>
    <w:tmpl w:val="C8C0E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BF11BC"/>
    <w:multiLevelType w:val="multilevel"/>
    <w:tmpl w:val="1B7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31230"/>
    <w:multiLevelType w:val="hybridMultilevel"/>
    <w:tmpl w:val="CC26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765759"/>
    <w:multiLevelType w:val="multilevel"/>
    <w:tmpl w:val="98E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47267"/>
    <w:multiLevelType w:val="hybridMultilevel"/>
    <w:tmpl w:val="5A46B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6584B"/>
    <w:multiLevelType w:val="multilevel"/>
    <w:tmpl w:val="1AE4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F061F"/>
    <w:multiLevelType w:val="multilevel"/>
    <w:tmpl w:val="2CFC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234BE"/>
    <w:multiLevelType w:val="hybridMultilevel"/>
    <w:tmpl w:val="35D0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F2092"/>
    <w:multiLevelType w:val="multilevel"/>
    <w:tmpl w:val="639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F9701C"/>
    <w:multiLevelType w:val="multilevel"/>
    <w:tmpl w:val="588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62372"/>
    <w:multiLevelType w:val="multilevel"/>
    <w:tmpl w:val="E77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81D4D"/>
    <w:multiLevelType w:val="multilevel"/>
    <w:tmpl w:val="AF7C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F39EA"/>
    <w:multiLevelType w:val="hybridMultilevel"/>
    <w:tmpl w:val="1088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7141A9"/>
    <w:multiLevelType w:val="multilevel"/>
    <w:tmpl w:val="71A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00BDD"/>
    <w:multiLevelType w:val="multilevel"/>
    <w:tmpl w:val="9EA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659380">
    <w:abstractNumId w:val="37"/>
  </w:num>
  <w:num w:numId="2" w16cid:durableId="1509707481">
    <w:abstractNumId w:val="5"/>
  </w:num>
  <w:num w:numId="3" w16cid:durableId="1717196616">
    <w:abstractNumId w:val="13"/>
  </w:num>
  <w:num w:numId="4" w16cid:durableId="192546874">
    <w:abstractNumId w:val="1"/>
  </w:num>
  <w:num w:numId="5" w16cid:durableId="119341875">
    <w:abstractNumId w:val="27"/>
  </w:num>
  <w:num w:numId="6" w16cid:durableId="1940140617">
    <w:abstractNumId w:val="6"/>
  </w:num>
  <w:num w:numId="7" w16cid:durableId="3479912">
    <w:abstractNumId w:val="32"/>
  </w:num>
  <w:num w:numId="8" w16cid:durableId="1190292586">
    <w:abstractNumId w:val="39"/>
  </w:num>
  <w:num w:numId="9" w16cid:durableId="1044252668">
    <w:abstractNumId w:val="31"/>
  </w:num>
  <w:num w:numId="10" w16cid:durableId="1447310854">
    <w:abstractNumId w:val="3"/>
  </w:num>
  <w:num w:numId="11" w16cid:durableId="1994139095">
    <w:abstractNumId w:val="17"/>
  </w:num>
  <w:num w:numId="12" w16cid:durableId="123888357">
    <w:abstractNumId w:val="22"/>
  </w:num>
  <w:num w:numId="13" w16cid:durableId="133449392">
    <w:abstractNumId w:val="34"/>
  </w:num>
  <w:num w:numId="14" w16cid:durableId="1071998519">
    <w:abstractNumId w:val="15"/>
  </w:num>
  <w:num w:numId="15" w16cid:durableId="1196384107">
    <w:abstractNumId w:val="35"/>
  </w:num>
  <w:num w:numId="16" w16cid:durableId="152648621">
    <w:abstractNumId w:val="20"/>
  </w:num>
  <w:num w:numId="17" w16cid:durableId="1055469616">
    <w:abstractNumId w:val="28"/>
  </w:num>
  <w:num w:numId="18" w16cid:durableId="1414207092">
    <w:abstractNumId w:val="38"/>
  </w:num>
  <w:num w:numId="19" w16cid:durableId="1933974048">
    <w:abstractNumId w:val="30"/>
  </w:num>
  <w:num w:numId="20" w16cid:durableId="1116870287">
    <w:abstractNumId w:val="0"/>
  </w:num>
  <w:num w:numId="21" w16cid:durableId="2135168582">
    <w:abstractNumId w:val="16"/>
  </w:num>
  <w:num w:numId="22" w16cid:durableId="1611349851">
    <w:abstractNumId w:val="7"/>
  </w:num>
  <w:num w:numId="23" w16cid:durableId="202795771">
    <w:abstractNumId w:val="4"/>
  </w:num>
  <w:num w:numId="24" w16cid:durableId="1862009455">
    <w:abstractNumId w:val="24"/>
  </w:num>
  <w:num w:numId="25" w16cid:durableId="643584254">
    <w:abstractNumId w:val="36"/>
  </w:num>
  <w:num w:numId="26" w16cid:durableId="382751297">
    <w:abstractNumId w:val="33"/>
  </w:num>
  <w:num w:numId="27" w16cid:durableId="441800472">
    <w:abstractNumId w:val="10"/>
  </w:num>
  <w:num w:numId="28" w16cid:durableId="397559347">
    <w:abstractNumId w:val="11"/>
  </w:num>
  <w:num w:numId="29" w16cid:durableId="113135392">
    <w:abstractNumId w:val="26"/>
  </w:num>
  <w:num w:numId="30" w16cid:durableId="1810973418">
    <w:abstractNumId w:val="25"/>
  </w:num>
  <w:num w:numId="31" w16cid:durableId="69545163">
    <w:abstractNumId w:val="2"/>
  </w:num>
  <w:num w:numId="32" w16cid:durableId="1831628142">
    <w:abstractNumId w:val="14"/>
  </w:num>
  <w:num w:numId="33" w16cid:durableId="1570309804">
    <w:abstractNumId w:val="9"/>
  </w:num>
  <w:num w:numId="34" w16cid:durableId="1893349396">
    <w:abstractNumId w:val="8"/>
  </w:num>
  <w:num w:numId="35" w16cid:durableId="655496221">
    <w:abstractNumId w:val="23"/>
  </w:num>
  <w:num w:numId="36" w16cid:durableId="687485206">
    <w:abstractNumId w:val="19"/>
  </w:num>
  <w:num w:numId="37" w16cid:durableId="1866283861">
    <w:abstractNumId w:val="12"/>
  </w:num>
  <w:num w:numId="38" w16cid:durableId="330303304">
    <w:abstractNumId w:val="21"/>
  </w:num>
  <w:num w:numId="39" w16cid:durableId="1795832060">
    <w:abstractNumId w:val="29"/>
  </w:num>
  <w:num w:numId="40" w16cid:durableId="1240857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C7"/>
    <w:rsid w:val="000673FB"/>
    <w:rsid w:val="001032B1"/>
    <w:rsid w:val="0019233C"/>
    <w:rsid w:val="001A2E37"/>
    <w:rsid w:val="00265A76"/>
    <w:rsid w:val="002B7095"/>
    <w:rsid w:val="002D3CE3"/>
    <w:rsid w:val="00302282"/>
    <w:rsid w:val="003C506F"/>
    <w:rsid w:val="003E263A"/>
    <w:rsid w:val="00465D94"/>
    <w:rsid w:val="004A4B76"/>
    <w:rsid w:val="004B2404"/>
    <w:rsid w:val="004B593E"/>
    <w:rsid w:val="005C57B7"/>
    <w:rsid w:val="005F2DC7"/>
    <w:rsid w:val="00623A3A"/>
    <w:rsid w:val="006E4472"/>
    <w:rsid w:val="008542A3"/>
    <w:rsid w:val="008A10D1"/>
    <w:rsid w:val="008C49A5"/>
    <w:rsid w:val="009975A9"/>
    <w:rsid w:val="009E588C"/>
    <w:rsid w:val="00A02920"/>
    <w:rsid w:val="00A45768"/>
    <w:rsid w:val="00B96AE7"/>
    <w:rsid w:val="00C119EC"/>
    <w:rsid w:val="00CF6010"/>
    <w:rsid w:val="00DD10CF"/>
    <w:rsid w:val="00E1503F"/>
    <w:rsid w:val="00FC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C2DF"/>
  <w15:chartTrackingRefBased/>
  <w15:docId w15:val="{DD5B39FA-3792-4473-AF01-9FA154A9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94"/>
    <w:pPr>
      <w:ind w:left="720"/>
      <w:contextualSpacing/>
    </w:pPr>
  </w:style>
  <w:style w:type="table" w:styleId="TableGrid">
    <w:name w:val="Table Grid"/>
    <w:basedOn w:val="TableNormal"/>
    <w:uiPriority w:val="39"/>
    <w:rsid w:val="00103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010"/>
    <w:rPr>
      <w:rFonts w:ascii="Times New Roman" w:hAnsi="Times New Roman" w:cs="Times New Roman"/>
      <w:sz w:val="24"/>
      <w:szCs w:val="24"/>
    </w:rPr>
  </w:style>
  <w:style w:type="character" w:styleId="Strong">
    <w:name w:val="Strong"/>
    <w:basedOn w:val="DefaultParagraphFont"/>
    <w:uiPriority w:val="22"/>
    <w:qFormat/>
    <w:rsid w:val="004B2404"/>
    <w:rPr>
      <w:b/>
      <w:bCs/>
    </w:rPr>
  </w:style>
  <w:style w:type="character" w:styleId="Hyperlink">
    <w:name w:val="Hyperlink"/>
    <w:basedOn w:val="DefaultParagraphFont"/>
    <w:uiPriority w:val="99"/>
    <w:unhideWhenUsed/>
    <w:rsid w:val="004A4B76"/>
    <w:rPr>
      <w:color w:val="0563C1" w:themeColor="hyperlink"/>
      <w:u w:val="single"/>
    </w:rPr>
  </w:style>
  <w:style w:type="character" w:styleId="UnresolvedMention">
    <w:name w:val="Unresolved Mention"/>
    <w:basedOn w:val="DefaultParagraphFont"/>
    <w:uiPriority w:val="99"/>
    <w:semiHidden/>
    <w:unhideWhenUsed/>
    <w:rsid w:val="004A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936">
      <w:bodyDiv w:val="1"/>
      <w:marLeft w:val="0"/>
      <w:marRight w:val="0"/>
      <w:marTop w:val="0"/>
      <w:marBottom w:val="0"/>
      <w:divBdr>
        <w:top w:val="none" w:sz="0" w:space="0" w:color="auto"/>
        <w:left w:val="none" w:sz="0" w:space="0" w:color="auto"/>
        <w:bottom w:val="none" w:sz="0" w:space="0" w:color="auto"/>
        <w:right w:val="none" w:sz="0" w:space="0" w:color="auto"/>
      </w:divBdr>
    </w:div>
    <w:div w:id="32925958">
      <w:bodyDiv w:val="1"/>
      <w:marLeft w:val="0"/>
      <w:marRight w:val="0"/>
      <w:marTop w:val="0"/>
      <w:marBottom w:val="0"/>
      <w:divBdr>
        <w:top w:val="none" w:sz="0" w:space="0" w:color="auto"/>
        <w:left w:val="none" w:sz="0" w:space="0" w:color="auto"/>
        <w:bottom w:val="none" w:sz="0" w:space="0" w:color="auto"/>
        <w:right w:val="none" w:sz="0" w:space="0" w:color="auto"/>
      </w:divBdr>
    </w:div>
    <w:div w:id="44725108">
      <w:bodyDiv w:val="1"/>
      <w:marLeft w:val="0"/>
      <w:marRight w:val="0"/>
      <w:marTop w:val="0"/>
      <w:marBottom w:val="0"/>
      <w:divBdr>
        <w:top w:val="none" w:sz="0" w:space="0" w:color="auto"/>
        <w:left w:val="none" w:sz="0" w:space="0" w:color="auto"/>
        <w:bottom w:val="none" w:sz="0" w:space="0" w:color="auto"/>
        <w:right w:val="none" w:sz="0" w:space="0" w:color="auto"/>
      </w:divBdr>
    </w:div>
    <w:div w:id="122384784">
      <w:bodyDiv w:val="1"/>
      <w:marLeft w:val="0"/>
      <w:marRight w:val="0"/>
      <w:marTop w:val="0"/>
      <w:marBottom w:val="0"/>
      <w:divBdr>
        <w:top w:val="none" w:sz="0" w:space="0" w:color="auto"/>
        <w:left w:val="none" w:sz="0" w:space="0" w:color="auto"/>
        <w:bottom w:val="none" w:sz="0" w:space="0" w:color="auto"/>
        <w:right w:val="none" w:sz="0" w:space="0" w:color="auto"/>
      </w:divBdr>
    </w:div>
    <w:div w:id="185142748">
      <w:bodyDiv w:val="1"/>
      <w:marLeft w:val="0"/>
      <w:marRight w:val="0"/>
      <w:marTop w:val="0"/>
      <w:marBottom w:val="0"/>
      <w:divBdr>
        <w:top w:val="none" w:sz="0" w:space="0" w:color="auto"/>
        <w:left w:val="none" w:sz="0" w:space="0" w:color="auto"/>
        <w:bottom w:val="none" w:sz="0" w:space="0" w:color="auto"/>
        <w:right w:val="none" w:sz="0" w:space="0" w:color="auto"/>
      </w:divBdr>
    </w:div>
    <w:div w:id="186020648">
      <w:bodyDiv w:val="1"/>
      <w:marLeft w:val="0"/>
      <w:marRight w:val="0"/>
      <w:marTop w:val="0"/>
      <w:marBottom w:val="0"/>
      <w:divBdr>
        <w:top w:val="none" w:sz="0" w:space="0" w:color="auto"/>
        <w:left w:val="none" w:sz="0" w:space="0" w:color="auto"/>
        <w:bottom w:val="none" w:sz="0" w:space="0" w:color="auto"/>
        <w:right w:val="none" w:sz="0" w:space="0" w:color="auto"/>
      </w:divBdr>
    </w:div>
    <w:div w:id="257299294">
      <w:bodyDiv w:val="1"/>
      <w:marLeft w:val="0"/>
      <w:marRight w:val="0"/>
      <w:marTop w:val="0"/>
      <w:marBottom w:val="0"/>
      <w:divBdr>
        <w:top w:val="none" w:sz="0" w:space="0" w:color="auto"/>
        <w:left w:val="none" w:sz="0" w:space="0" w:color="auto"/>
        <w:bottom w:val="none" w:sz="0" w:space="0" w:color="auto"/>
        <w:right w:val="none" w:sz="0" w:space="0" w:color="auto"/>
      </w:divBdr>
    </w:div>
    <w:div w:id="258106748">
      <w:bodyDiv w:val="1"/>
      <w:marLeft w:val="0"/>
      <w:marRight w:val="0"/>
      <w:marTop w:val="0"/>
      <w:marBottom w:val="0"/>
      <w:divBdr>
        <w:top w:val="none" w:sz="0" w:space="0" w:color="auto"/>
        <w:left w:val="none" w:sz="0" w:space="0" w:color="auto"/>
        <w:bottom w:val="none" w:sz="0" w:space="0" w:color="auto"/>
        <w:right w:val="none" w:sz="0" w:space="0" w:color="auto"/>
      </w:divBdr>
    </w:div>
    <w:div w:id="288556325">
      <w:bodyDiv w:val="1"/>
      <w:marLeft w:val="0"/>
      <w:marRight w:val="0"/>
      <w:marTop w:val="0"/>
      <w:marBottom w:val="0"/>
      <w:divBdr>
        <w:top w:val="none" w:sz="0" w:space="0" w:color="auto"/>
        <w:left w:val="none" w:sz="0" w:space="0" w:color="auto"/>
        <w:bottom w:val="none" w:sz="0" w:space="0" w:color="auto"/>
        <w:right w:val="none" w:sz="0" w:space="0" w:color="auto"/>
      </w:divBdr>
    </w:div>
    <w:div w:id="317614851">
      <w:bodyDiv w:val="1"/>
      <w:marLeft w:val="0"/>
      <w:marRight w:val="0"/>
      <w:marTop w:val="0"/>
      <w:marBottom w:val="0"/>
      <w:divBdr>
        <w:top w:val="none" w:sz="0" w:space="0" w:color="auto"/>
        <w:left w:val="none" w:sz="0" w:space="0" w:color="auto"/>
        <w:bottom w:val="none" w:sz="0" w:space="0" w:color="auto"/>
        <w:right w:val="none" w:sz="0" w:space="0" w:color="auto"/>
      </w:divBdr>
    </w:div>
    <w:div w:id="318005262">
      <w:bodyDiv w:val="1"/>
      <w:marLeft w:val="0"/>
      <w:marRight w:val="0"/>
      <w:marTop w:val="0"/>
      <w:marBottom w:val="0"/>
      <w:divBdr>
        <w:top w:val="none" w:sz="0" w:space="0" w:color="auto"/>
        <w:left w:val="none" w:sz="0" w:space="0" w:color="auto"/>
        <w:bottom w:val="none" w:sz="0" w:space="0" w:color="auto"/>
        <w:right w:val="none" w:sz="0" w:space="0" w:color="auto"/>
      </w:divBdr>
    </w:div>
    <w:div w:id="335614299">
      <w:bodyDiv w:val="1"/>
      <w:marLeft w:val="0"/>
      <w:marRight w:val="0"/>
      <w:marTop w:val="0"/>
      <w:marBottom w:val="0"/>
      <w:divBdr>
        <w:top w:val="none" w:sz="0" w:space="0" w:color="auto"/>
        <w:left w:val="none" w:sz="0" w:space="0" w:color="auto"/>
        <w:bottom w:val="none" w:sz="0" w:space="0" w:color="auto"/>
        <w:right w:val="none" w:sz="0" w:space="0" w:color="auto"/>
      </w:divBdr>
    </w:div>
    <w:div w:id="348258948">
      <w:bodyDiv w:val="1"/>
      <w:marLeft w:val="0"/>
      <w:marRight w:val="0"/>
      <w:marTop w:val="0"/>
      <w:marBottom w:val="0"/>
      <w:divBdr>
        <w:top w:val="none" w:sz="0" w:space="0" w:color="auto"/>
        <w:left w:val="none" w:sz="0" w:space="0" w:color="auto"/>
        <w:bottom w:val="none" w:sz="0" w:space="0" w:color="auto"/>
        <w:right w:val="none" w:sz="0" w:space="0" w:color="auto"/>
      </w:divBdr>
    </w:div>
    <w:div w:id="350642920">
      <w:bodyDiv w:val="1"/>
      <w:marLeft w:val="0"/>
      <w:marRight w:val="0"/>
      <w:marTop w:val="0"/>
      <w:marBottom w:val="0"/>
      <w:divBdr>
        <w:top w:val="none" w:sz="0" w:space="0" w:color="auto"/>
        <w:left w:val="none" w:sz="0" w:space="0" w:color="auto"/>
        <w:bottom w:val="none" w:sz="0" w:space="0" w:color="auto"/>
        <w:right w:val="none" w:sz="0" w:space="0" w:color="auto"/>
      </w:divBdr>
    </w:div>
    <w:div w:id="430127623">
      <w:bodyDiv w:val="1"/>
      <w:marLeft w:val="0"/>
      <w:marRight w:val="0"/>
      <w:marTop w:val="0"/>
      <w:marBottom w:val="0"/>
      <w:divBdr>
        <w:top w:val="none" w:sz="0" w:space="0" w:color="auto"/>
        <w:left w:val="none" w:sz="0" w:space="0" w:color="auto"/>
        <w:bottom w:val="none" w:sz="0" w:space="0" w:color="auto"/>
        <w:right w:val="none" w:sz="0" w:space="0" w:color="auto"/>
      </w:divBdr>
    </w:div>
    <w:div w:id="456458875">
      <w:bodyDiv w:val="1"/>
      <w:marLeft w:val="0"/>
      <w:marRight w:val="0"/>
      <w:marTop w:val="0"/>
      <w:marBottom w:val="0"/>
      <w:divBdr>
        <w:top w:val="none" w:sz="0" w:space="0" w:color="auto"/>
        <w:left w:val="none" w:sz="0" w:space="0" w:color="auto"/>
        <w:bottom w:val="none" w:sz="0" w:space="0" w:color="auto"/>
        <w:right w:val="none" w:sz="0" w:space="0" w:color="auto"/>
      </w:divBdr>
    </w:div>
    <w:div w:id="479076469">
      <w:bodyDiv w:val="1"/>
      <w:marLeft w:val="0"/>
      <w:marRight w:val="0"/>
      <w:marTop w:val="0"/>
      <w:marBottom w:val="0"/>
      <w:divBdr>
        <w:top w:val="none" w:sz="0" w:space="0" w:color="auto"/>
        <w:left w:val="none" w:sz="0" w:space="0" w:color="auto"/>
        <w:bottom w:val="none" w:sz="0" w:space="0" w:color="auto"/>
        <w:right w:val="none" w:sz="0" w:space="0" w:color="auto"/>
      </w:divBdr>
    </w:div>
    <w:div w:id="489489985">
      <w:bodyDiv w:val="1"/>
      <w:marLeft w:val="0"/>
      <w:marRight w:val="0"/>
      <w:marTop w:val="0"/>
      <w:marBottom w:val="0"/>
      <w:divBdr>
        <w:top w:val="none" w:sz="0" w:space="0" w:color="auto"/>
        <w:left w:val="none" w:sz="0" w:space="0" w:color="auto"/>
        <w:bottom w:val="none" w:sz="0" w:space="0" w:color="auto"/>
        <w:right w:val="none" w:sz="0" w:space="0" w:color="auto"/>
      </w:divBdr>
    </w:div>
    <w:div w:id="497578318">
      <w:bodyDiv w:val="1"/>
      <w:marLeft w:val="0"/>
      <w:marRight w:val="0"/>
      <w:marTop w:val="0"/>
      <w:marBottom w:val="0"/>
      <w:divBdr>
        <w:top w:val="none" w:sz="0" w:space="0" w:color="auto"/>
        <w:left w:val="none" w:sz="0" w:space="0" w:color="auto"/>
        <w:bottom w:val="none" w:sz="0" w:space="0" w:color="auto"/>
        <w:right w:val="none" w:sz="0" w:space="0" w:color="auto"/>
      </w:divBdr>
    </w:div>
    <w:div w:id="506752004">
      <w:bodyDiv w:val="1"/>
      <w:marLeft w:val="0"/>
      <w:marRight w:val="0"/>
      <w:marTop w:val="0"/>
      <w:marBottom w:val="0"/>
      <w:divBdr>
        <w:top w:val="none" w:sz="0" w:space="0" w:color="auto"/>
        <w:left w:val="none" w:sz="0" w:space="0" w:color="auto"/>
        <w:bottom w:val="none" w:sz="0" w:space="0" w:color="auto"/>
        <w:right w:val="none" w:sz="0" w:space="0" w:color="auto"/>
      </w:divBdr>
    </w:div>
    <w:div w:id="541139339">
      <w:bodyDiv w:val="1"/>
      <w:marLeft w:val="0"/>
      <w:marRight w:val="0"/>
      <w:marTop w:val="0"/>
      <w:marBottom w:val="0"/>
      <w:divBdr>
        <w:top w:val="none" w:sz="0" w:space="0" w:color="auto"/>
        <w:left w:val="none" w:sz="0" w:space="0" w:color="auto"/>
        <w:bottom w:val="none" w:sz="0" w:space="0" w:color="auto"/>
        <w:right w:val="none" w:sz="0" w:space="0" w:color="auto"/>
      </w:divBdr>
    </w:div>
    <w:div w:id="552928611">
      <w:bodyDiv w:val="1"/>
      <w:marLeft w:val="0"/>
      <w:marRight w:val="0"/>
      <w:marTop w:val="0"/>
      <w:marBottom w:val="0"/>
      <w:divBdr>
        <w:top w:val="none" w:sz="0" w:space="0" w:color="auto"/>
        <w:left w:val="none" w:sz="0" w:space="0" w:color="auto"/>
        <w:bottom w:val="none" w:sz="0" w:space="0" w:color="auto"/>
        <w:right w:val="none" w:sz="0" w:space="0" w:color="auto"/>
      </w:divBdr>
    </w:div>
    <w:div w:id="563759718">
      <w:bodyDiv w:val="1"/>
      <w:marLeft w:val="0"/>
      <w:marRight w:val="0"/>
      <w:marTop w:val="0"/>
      <w:marBottom w:val="0"/>
      <w:divBdr>
        <w:top w:val="none" w:sz="0" w:space="0" w:color="auto"/>
        <w:left w:val="none" w:sz="0" w:space="0" w:color="auto"/>
        <w:bottom w:val="none" w:sz="0" w:space="0" w:color="auto"/>
        <w:right w:val="none" w:sz="0" w:space="0" w:color="auto"/>
      </w:divBdr>
    </w:div>
    <w:div w:id="582177700">
      <w:bodyDiv w:val="1"/>
      <w:marLeft w:val="0"/>
      <w:marRight w:val="0"/>
      <w:marTop w:val="0"/>
      <w:marBottom w:val="0"/>
      <w:divBdr>
        <w:top w:val="none" w:sz="0" w:space="0" w:color="auto"/>
        <w:left w:val="none" w:sz="0" w:space="0" w:color="auto"/>
        <w:bottom w:val="none" w:sz="0" w:space="0" w:color="auto"/>
        <w:right w:val="none" w:sz="0" w:space="0" w:color="auto"/>
      </w:divBdr>
    </w:div>
    <w:div w:id="594366732">
      <w:bodyDiv w:val="1"/>
      <w:marLeft w:val="0"/>
      <w:marRight w:val="0"/>
      <w:marTop w:val="0"/>
      <w:marBottom w:val="0"/>
      <w:divBdr>
        <w:top w:val="none" w:sz="0" w:space="0" w:color="auto"/>
        <w:left w:val="none" w:sz="0" w:space="0" w:color="auto"/>
        <w:bottom w:val="none" w:sz="0" w:space="0" w:color="auto"/>
        <w:right w:val="none" w:sz="0" w:space="0" w:color="auto"/>
      </w:divBdr>
    </w:div>
    <w:div w:id="608508523">
      <w:bodyDiv w:val="1"/>
      <w:marLeft w:val="0"/>
      <w:marRight w:val="0"/>
      <w:marTop w:val="0"/>
      <w:marBottom w:val="0"/>
      <w:divBdr>
        <w:top w:val="none" w:sz="0" w:space="0" w:color="auto"/>
        <w:left w:val="none" w:sz="0" w:space="0" w:color="auto"/>
        <w:bottom w:val="none" w:sz="0" w:space="0" w:color="auto"/>
        <w:right w:val="none" w:sz="0" w:space="0" w:color="auto"/>
      </w:divBdr>
    </w:div>
    <w:div w:id="629483874">
      <w:bodyDiv w:val="1"/>
      <w:marLeft w:val="0"/>
      <w:marRight w:val="0"/>
      <w:marTop w:val="0"/>
      <w:marBottom w:val="0"/>
      <w:divBdr>
        <w:top w:val="none" w:sz="0" w:space="0" w:color="auto"/>
        <w:left w:val="none" w:sz="0" w:space="0" w:color="auto"/>
        <w:bottom w:val="none" w:sz="0" w:space="0" w:color="auto"/>
        <w:right w:val="none" w:sz="0" w:space="0" w:color="auto"/>
      </w:divBdr>
    </w:div>
    <w:div w:id="723479893">
      <w:bodyDiv w:val="1"/>
      <w:marLeft w:val="0"/>
      <w:marRight w:val="0"/>
      <w:marTop w:val="0"/>
      <w:marBottom w:val="0"/>
      <w:divBdr>
        <w:top w:val="none" w:sz="0" w:space="0" w:color="auto"/>
        <w:left w:val="none" w:sz="0" w:space="0" w:color="auto"/>
        <w:bottom w:val="none" w:sz="0" w:space="0" w:color="auto"/>
        <w:right w:val="none" w:sz="0" w:space="0" w:color="auto"/>
      </w:divBdr>
    </w:div>
    <w:div w:id="770856618">
      <w:bodyDiv w:val="1"/>
      <w:marLeft w:val="0"/>
      <w:marRight w:val="0"/>
      <w:marTop w:val="0"/>
      <w:marBottom w:val="0"/>
      <w:divBdr>
        <w:top w:val="none" w:sz="0" w:space="0" w:color="auto"/>
        <w:left w:val="none" w:sz="0" w:space="0" w:color="auto"/>
        <w:bottom w:val="none" w:sz="0" w:space="0" w:color="auto"/>
        <w:right w:val="none" w:sz="0" w:space="0" w:color="auto"/>
      </w:divBdr>
    </w:div>
    <w:div w:id="780103817">
      <w:bodyDiv w:val="1"/>
      <w:marLeft w:val="0"/>
      <w:marRight w:val="0"/>
      <w:marTop w:val="0"/>
      <w:marBottom w:val="0"/>
      <w:divBdr>
        <w:top w:val="none" w:sz="0" w:space="0" w:color="auto"/>
        <w:left w:val="none" w:sz="0" w:space="0" w:color="auto"/>
        <w:bottom w:val="none" w:sz="0" w:space="0" w:color="auto"/>
        <w:right w:val="none" w:sz="0" w:space="0" w:color="auto"/>
      </w:divBdr>
    </w:div>
    <w:div w:id="913508299">
      <w:bodyDiv w:val="1"/>
      <w:marLeft w:val="0"/>
      <w:marRight w:val="0"/>
      <w:marTop w:val="0"/>
      <w:marBottom w:val="0"/>
      <w:divBdr>
        <w:top w:val="none" w:sz="0" w:space="0" w:color="auto"/>
        <w:left w:val="none" w:sz="0" w:space="0" w:color="auto"/>
        <w:bottom w:val="none" w:sz="0" w:space="0" w:color="auto"/>
        <w:right w:val="none" w:sz="0" w:space="0" w:color="auto"/>
      </w:divBdr>
    </w:div>
    <w:div w:id="943996849">
      <w:bodyDiv w:val="1"/>
      <w:marLeft w:val="0"/>
      <w:marRight w:val="0"/>
      <w:marTop w:val="0"/>
      <w:marBottom w:val="0"/>
      <w:divBdr>
        <w:top w:val="none" w:sz="0" w:space="0" w:color="auto"/>
        <w:left w:val="none" w:sz="0" w:space="0" w:color="auto"/>
        <w:bottom w:val="none" w:sz="0" w:space="0" w:color="auto"/>
        <w:right w:val="none" w:sz="0" w:space="0" w:color="auto"/>
      </w:divBdr>
    </w:div>
    <w:div w:id="954101305">
      <w:bodyDiv w:val="1"/>
      <w:marLeft w:val="0"/>
      <w:marRight w:val="0"/>
      <w:marTop w:val="0"/>
      <w:marBottom w:val="0"/>
      <w:divBdr>
        <w:top w:val="none" w:sz="0" w:space="0" w:color="auto"/>
        <w:left w:val="none" w:sz="0" w:space="0" w:color="auto"/>
        <w:bottom w:val="none" w:sz="0" w:space="0" w:color="auto"/>
        <w:right w:val="none" w:sz="0" w:space="0" w:color="auto"/>
      </w:divBdr>
    </w:div>
    <w:div w:id="971712567">
      <w:bodyDiv w:val="1"/>
      <w:marLeft w:val="0"/>
      <w:marRight w:val="0"/>
      <w:marTop w:val="0"/>
      <w:marBottom w:val="0"/>
      <w:divBdr>
        <w:top w:val="none" w:sz="0" w:space="0" w:color="auto"/>
        <w:left w:val="none" w:sz="0" w:space="0" w:color="auto"/>
        <w:bottom w:val="none" w:sz="0" w:space="0" w:color="auto"/>
        <w:right w:val="none" w:sz="0" w:space="0" w:color="auto"/>
      </w:divBdr>
    </w:div>
    <w:div w:id="974674947">
      <w:bodyDiv w:val="1"/>
      <w:marLeft w:val="0"/>
      <w:marRight w:val="0"/>
      <w:marTop w:val="0"/>
      <w:marBottom w:val="0"/>
      <w:divBdr>
        <w:top w:val="none" w:sz="0" w:space="0" w:color="auto"/>
        <w:left w:val="none" w:sz="0" w:space="0" w:color="auto"/>
        <w:bottom w:val="none" w:sz="0" w:space="0" w:color="auto"/>
        <w:right w:val="none" w:sz="0" w:space="0" w:color="auto"/>
      </w:divBdr>
    </w:div>
    <w:div w:id="982926196">
      <w:bodyDiv w:val="1"/>
      <w:marLeft w:val="0"/>
      <w:marRight w:val="0"/>
      <w:marTop w:val="0"/>
      <w:marBottom w:val="0"/>
      <w:divBdr>
        <w:top w:val="none" w:sz="0" w:space="0" w:color="auto"/>
        <w:left w:val="none" w:sz="0" w:space="0" w:color="auto"/>
        <w:bottom w:val="none" w:sz="0" w:space="0" w:color="auto"/>
        <w:right w:val="none" w:sz="0" w:space="0" w:color="auto"/>
      </w:divBdr>
    </w:div>
    <w:div w:id="986084885">
      <w:bodyDiv w:val="1"/>
      <w:marLeft w:val="0"/>
      <w:marRight w:val="0"/>
      <w:marTop w:val="0"/>
      <w:marBottom w:val="0"/>
      <w:divBdr>
        <w:top w:val="none" w:sz="0" w:space="0" w:color="auto"/>
        <w:left w:val="none" w:sz="0" w:space="0" w:color="auto"/>
        <w:bottom w:val="none" w:sz="0" w:space="0" w:color="auto"/>
        <w:right w:val="none" w:sz="0" w:space="0" w:color="auto"/>
      </w:divBdr>
    </w:div>
    <w:div w:id="997921741">
      <w:bodyDiv w:val="1"/>
      <w:marLeft w:val="0"/>
      <w:marRight w:val="0"/>
      <w:marTop w:val="0"/>
      <w:marBottom w:val="0"/>
      <w:divBdr>
        <w:top w:val="none" w:sz="0" w:space="0" w:color="auto"/>
        <w:left w:val="none" w:sz="0" w:space="0" w:color="auto"/>
        <w:bottom w:val="none" w:sz="0" w:space="0" w:color="auto"/>
        <w:right w:val="none" w:sz="0" w:space="0" w:color="auto"/>
      </w:divBdr>
    </w:div>
    <w:div w:id="1021472780">
      <w:bodyDiv w:val="1"/>
      <w:marLeft w:val="0"/>
      <w:marRight w:val="0"/>
      <w:marTop w:val="0"/>
      <w:marBottom w:val="0"/>
      <w:divBdr>
        <w:top w:val="none" w:sz="0" w:space="0" w:color="auto"/>
        <w:left w:val="none" w:sz="0" w:space="0" w:color="auto"/>
        <w:bottom w:val="none" w:sz="0" w:space="0" w:color="auto"/>
        <w:right w:val="none" w:sz="0" w:space="0" w:color="auto"/>
      </w:divBdr>
    </w:div>
    <w:div w:id="1025056384">
      <w:bodyDiv w:val="1"/>
      <w:marLeft w:val="0"/>
      <w:marRight w:val="0"/>
      <w:marTop w:val="0"/>
      <w:marBottom w:val="0"/>
      <w:divBdr>
        <w:top w:val="none" w:sz="0" w:space="0" w:color="auto"/>
        <w:left w:val="none" w:sz="0" w:space="0" w:color="auto"/>
        <w:bottom w:val="none" w:sz="0" w:space="0" w:color="auto"/>
        <w:right w:val="none" w:sz="0" w:space="0" w:color="auto"/>
      </w:divBdr>
    </w:div>
    <w:div w:id="1065035087">
      <w:bodyDiv w:val="1"/>
      <w:marLeft w:val="0"/>
      <w:marRight w:val="0"/>
      <w:marTop w:val="0"/>
      <w:marBottom w:val="0"/>
      <w:divBdr>
        <w:top w:val="none" w:sz="0" w:space="0" w:color="auto"/>
        <w:left w:val="none" w:sz="0" w:space="0" w:color="auto"/>
        <w:bottom w:val="none" w:sz="0" w:space="0" w:color="auto"/>
        <w:right w:val="none" w:sz="0" w:space="0" w:color="auto"/>
      </w:divBdr>
    </w:div>
    <w:div w:id="1073235767">
      <w:bodyDiv w:val="1"/>
      <w:marLeft w:val="0"/>
      <w:marRight w:val="0"/>
      <w:marTop w:val="0"/>
      <w:marBottom w:val="0"/>
      <w:divBdr>
        <w:top w:val="none" w:sz="0" w:space="0" w:color="auto"/>
        <w:left w:val="none" w:sz="0" w:space="0" w:color="auto"/>
        <w:bottom w:val="none" w:sz="0" w:space="0" w:color="auto"/>
        <w:right w:val="none" w:sz="0" w:space="0" w:color="auto"/>
      </w:divBdr>
    </w:div>
    <w:div w:id="1079786101">
      <w:bodyDiv w:val="1"/>
      <w:marLeft w:val="0"/>
      <w:marRight w:val="0"/>
      <w:marTop w:val="0"/>
      <w:marBottom w:val="0"/>
      <w:divBdr>
        <w:top w:val="none" w:sz="0" w:space="0" w:color="auto"/>
        <w:left w:val="none" w:sz="0" w:space="0" w:color="auto"/>
        <w:bottom w:val="none" w:sz="0" w:space="0" w:color="auto"/>
        <w:right w:val="none" w:sz="0" w:space="0" w:color="auto"/>
      </w:divBdr>
    </w:div>
    <w:div w:id="1085541267">
      <w:bodyDiv w:val="1"/>
      <w:marLeft w:val="0"/>
      <w:marRight w:val="0"/>
      <w:marTop w:val="0"/>
      <w:marBottom w:val="0"/>
      <w:divBdr>
        <w:top w:val="none" w:sz="0" w:space="0" w:color="auto"/>
        <w:left w:val="none" w:sz="0" w:space="0" w:color="auto"/>
        <w:bottom w:val="none" w:sz="0" w:space="0" w:color="auto"/>
        <w:right w:val="none" w:sz="0" w:space="0" w:color="auto"/>
      </w:divBdr>
    </w:div>
    <w:div w:id="1109199504">
      <w:bodyDiv w:val="1"/>
      <w:marLeft w:val="0"/>
      <w:marRight w:val="0"/>
      <w:marTop w:val="0"/>
      <w:marBottom w:val="0"/>
      <w:divBdr>
        <w:top w:val="none" w:sz="0" w:space="0" w:color="auto"/>
        <w:left w:val="none" w:sz="0" w:space="0" w:color="auto"/>
        <w:bottom w:val="none" w:sz="0" w:space="0" w:color="auto"/>
        <w:right w:val="none" w:sz="0" w:space="0" w:color="auto"/>
      </w:divBdr>
    </w:div>
    <w:div w:id="1132942749">
      <w:bodyDiv w:val="1"/>
      <w:marLeft w:val="0"/>
      <w:marRight w:val="0"/>
      <w:marTop w:val="0"/>
      <w:marBottom w:val="0"/>
      <w:divBdr>
        <w:top w:val="none" w:sz="0" w:space="0" w:color="auto"/>
        <w:left w:val="none" w:sz="0" w:space="0" w:color="auto"/>
        <w:bottom w:val="none" w:sz="0" w:space="0" w:color="auto"/>
        <w:right w:val="none" w:sz="0" w:space="0" w:color="auto"/>
      </w:divBdr>
    </w:div>
    <w:div w:id="1161384494">
      <w:bodyDiv w:val="1"/>
      <w:marLeft w:val="0"/>
      <w:marRight w:val="0"/>
      <w:marTop w:val="0"/>
      <w:marBottom w:val="0"/>
      <w:divBdr>
        <w:top w:val="none" w:sz="0" w:space="0" w:color="auto"/>
        <w:left w:val="none" w:sz="0" w:space="0" w:color="auto"/>
        <w:bottom w:val="none" w:sz="0" w:space="0" w:color="auto"/>
        <w:right w:val="none" w:sz="0" w:space="0" w:color="auto"/>
      </w:divBdr>
    </w:div>
    <w:div w:id="1164928912">
      <w:bodyDiv w:val="1"/>
      <w:marLeft w:val="0"/>
      <w:marRight w:val="0"/>
      <w:marTop w:val="0"/>
      <w:marBottom w:val="0"/>
      <w:divBdr>
        <w:top w:val="none" w:sz="0" w:space="0" w:color="auto"/>
        <w:left w:val="none" w:sz="0" w:space="0" w:color="auto"/>
        <w:bottom w:val="none" w:sz="0" w:space="0" w:color="auto"/>
        <w:right w:val="none" w:sz="0" w:space="0" w:color="auto"/>
      </w:divBdr>
    </w:div>
    <w:div w:id="1174343624">
      <w:bodyDiv w:val="1"/>
      <w:marLeft w:val="0"/>
      <w:marRight w:val="0"/>
      <w:marTop w:val="0"/>
      <w:marBottom w:val="0"/>
      <w:divBdr>
        <w:top w:val="none" w:sz="0" w:space="0" w:color="auto"/>
        <w:left w:val="none" w:sz="0" w:space="0" w:color="auto"/>
        <w:bottom w:val="none" w:sz="0" w:space="0" w:color="auto"/>
        <w:right w:val="none" w:sz="0" w:space="0" w:color="auto"/>
      </w:divBdr>
    </w:div>
    <w:div w:id="1179390325">
      <w:bodyDiv w:val="1"/>
      <w:marLeft w:val="0"/>
      <w:marRight w:val="0"/>
      <w:marTop w:val="0"/>
      <w:marBottom w:val="0"/>
      <w:divBdr>
        <w:top w:val="none" w:sz="0" w:space="0" w:color="auto"/>
        <w:left w:val="none" w:sz="0" w:space="0" w:color="auto"/>
        <w:bottom w:val="none" w:sz="0" w:space="0" w:color="auto"/>
        <w:right w:val="none" w:sz="0" w:space="0" w:color="auto"/>
      </w:divBdr>
    </w:div>
    <w:div w:id="1202480590">
      <w:bodyDiv w:val="1"/>
      <w:marLeft w:val="0"/>
      <w:marRight w:val="0"/>
      <w:marTop w:val="0"/>
      <w:marBottom w:val="0"/>
      <w:divBdr>
        <w:top w:val="none" w:sz="0" w:space="0" w:color="auto"/>
        <w:left w:val="none" w:sz="0" w:space="0" w:color="auto"/>
        <w:bottom w:val="none" w:sz="0" w:space="0" w:color="auto"/>
        <w:right w:val="none" w:sz="0" w:space="0" w:color="auto"/>
      </w:divBdr>
    </w:div>
    <w:div w:id="1218123123">
      <w:bodyDiv w:val="1"/>
      <w:marLeft w:val="0"/>
      <w:marRight w:val="0"/>
      <w:marTop w:val="0"/>
      <w:marBottom w:val="0"/>
      <w:divBdr>
        <w:top w:val="none" w:sz="0" w:space="0" w:color="auto"/>
        <w:left w:val="none" w:sz="0" w:space="0" w:color="auto"/>
        <w:bottom w:val="none" w:sz="0" w:space="0" w:color="auto"/>
        <w:right w:val="none" w:sz="0" w:space="0" w:color="auto"/>
      </w:divBdr>
    </w:div>
    <w:div w:id="1236819490">
      <w:bodyDiv w:val="1"/>
      <w:marLeft w:val="0"/>
      <w:marRight w:val="0"/>
      <w:marTop w:val="0"/>
      <w:marBottom w:val="0"/>
      <w:divBdr>
        <w:top w:val="none" w:sz="0" w:space="0" w:color="auto"/>
        <w:left w:val="none" w:sz="0" w:space="0" w:color="auto"/>
        <w:bottom w:val="none" w:sz="0" w:space="0" w:color="auto"/>
        <w:right w:val="none" w:sz="0" w:space="0" w:color="auto"/>
      </w:divBdr>
    </w:div>
    <w:div w:id="1321614811">
      <w:bodyDiv w:val="1"/>
      <w:marLeft w:val="0"/>
      <w:marRight w:val="0"/>
      <w:marTop w:val="0"/>
      <w:marBottom w:val="0"/>
      <w:divBdr>
        <w:top w:val="none" w:sz="0" w:space="0" w:color="auto"/>
        <w:left w:val="none" w:sz="0" w:space="0" w:color="auto"/>
        <w:bottom w:val="none" w:sz="0" w:space="0" w:color="auto"/>
        <w:right w:val="none" w:sz="0" w:space="0" w:color="auto"/>
      </w:divBdr>
    </w:div>
    <w:div w:id="1401054624">
      <w:bodyDiv w:val="1"/>
      <w:marLeft w:val="0"/>
      <w:marRight w:val="0"/>
      <w:marTop w:val="0"/>
      <w:marBottom w:val="0"/>
      <w:divBdr>
        <w:top w:val="none" w:sz="0" w:space="0" w:color="auto"/>
        <w:left w:val="none" w:sz="0" w:space="0" w:color="auto"/>
        <w:bottom w:val="none" w:sz="0" w:space="0" w:color="auto"/>
        <w:right w:val="none" w:sz="0" w:space="0" w:color="auto"/>
      </w:divBdr>
    </w:div>
    <w:div w:id="1407410653">
      <w:bodyDiv w:val="1"/>
      <w:marLeft w:val="0"/>
      <w:marRight w:val="0"/>
      <w:marTop w:val="0"/>
      <w:marBottom w:val="0"/>
      <w:divBdr>
        <w:top w:val="none" w:sz="0" w:space="0" w:color="auto"/>
        <w:left w:val="none" w:sz="0" w:space="0" w:color="auto"/>
        <w:bottom w:val="none" w:sz="0" w:space="0" w:color="auto"/>
        <w:right w:val="none" w:sz="0" w:space="0" w:color="auto"/>
      </w:divBdr>
    </w:div>
    <w:div w:id="1413314715">
      <w:bodyDiv w:val="1"/>
      <w:marLeft w:val="0"/>
      <w:marRight w:val="0"/>
      <w:marTop w:val="0"/>
      <w:marBottom w:val="0"/>
      <w:divBdr>
        <w:top w:val="none" w:sz="0" w:space="0" w:color="auto"/>
        <w:left w:val="none" w:sz="0" w:space="0" w:color="auto"/>
        <w:bottom w:val="none" w:sz="0" w:space="0" w:color="auto"/>
        <w:right w:val="none" w:sz="0" w:space="0" w:color="auto"/>
      </w:divBdr>
    </w:div>
    <w:div w:id="1420369849">
      <w:bodyDiv w:val="1"/>
      <w:marLeft w:val="0"/>
      <w:marRight w:val="0"/>
      <w:marTop w:val="0"/>
      <w:marBottom w:val="0"/>
      <w:divBdr>
        <w:top w:val="none" w:sz="0" w:space="0" w:color="auto"/>
        <w:left w:val="none" w:sz="0" w:space="0" w:color="auto"/>
        <w:bottom w:val="none" w:sz="0" w:space="0" w:color="auto"/>
        <w:right w:val="none" w:sz="0" w:space="0" w:color="auto"/>
      </w:divBdr>
    </w:div>
    <w:div w:id="1424567054">
      <w:bodyDiv w:val="1"/>
      <w:marLeft w:val="0"/>
      <w:marRight w:val="0"/>
      <w:marTop w:val="0"/>
      <w:marBottom w:val="0"/>
      <w:divBdr>
        <w:top w:val="none" w:sz="0" w:space="0" w:color="auto"/>
        <w:left w:val="none" w:sz="0" w:space="0" w:color="auto"/>
        <w:bottom w:val="none" w:sz="0" w:space="0" w:color="auto"/>
        <w:right w:val="none" w:sz="0" w:space="0" w:color="auto"/>
      </w:divBdr>
    </w:div>
    <w:div w:id="1435443742">
      <w:bodyDiv w:val="1"/>
      <w:marLeft w:val="0"/>
      <w:marRight w:val="0"/>
      <w:marTop w:val="0"/>
      <w:marBottom w:val="0"/>
      <w:divBdr>
        <w:top w:val="none" w:sz="0" w:space="0" w:color="auto"/>
        <w:left w:val="none" w:sz="0" w:space="0" w:color="auto"/>
        <w:bottom w:val="none" w:sz="0" w:space="0" w:color="auto"/>
        <w:right w:val="none" w:sz="0" w:space="0" w:color="auto"/>
      </w:divBdr>
    </w:div>
    <w:div w:id="1438789313">
      <w:bodyDiv w:val="1"/>
      <w:marLeft w:val="0"/>
      <w:marRight w:val="0"/>
      <w:marTop w:val="0"/>
      <w:marBottom w:val="0"/>
      <w:divBdr>
        <w:top w:val="none" w:sz="0" w:space="0" w:color="auto"/>
        <w:left w:val="none" w:sz="0" w:space="0" w:color="auto"/>
        <w:bottom w:val="none" w:sz="0" w:space="0" w:color="auto"/>
        <w:right w:val="none" w:sz="0" w:space="0" w:color="auto"/>
      </w:divBdr>
    </w:div>
    <w:div w:id="1463377756">
      <w:bodyDiv w:val="1"/>
      <w:marLeft w:val="0"/>
      <w:marRight w:val="0"/>
      <w:marTop w:val="0"/>
      <w:marBottom w:val="0"/>
      <w:divBdr>
        <w:top w:val="none" w:sz="0" w:space="0" w:color="auto"/>
        <w:left w:val="none" w:sz="0" w:space="0" w:color="auto"/>
        <w:bottom w:val="none" w:sz="0" w:space="0" w:color="auto"/>
        <w:right w:val="none" w:sz="0" w:space="0" w:color="auto"/>
      </w:divBdr>
    </w:div>
    <w:div w:id="1520116519">
      <w:bodyDiv w:val="1"/>
      <w:marLeft w:val="0"/>
      <w:marRight w:val="0"/>
      <w:marTop w:val="0"/>
      <w:marBottom w:val="0"/>
      <w:divBdr>
        <w:top w:val="none" w:sz="0" w:space="0" w:color="auto"/>
        <w:left w:val="none" w:sz="0" w:space="0" w:color="auto"/>
        <w:bottom w:val="none" w:sz="0" w:space="0" w:color="auto"/>
        <w:right w:val="none" w:sz="0" w:space="0" w:color="auto"/>
      </w:divBdr>
    </w:div>
    <w:div w:id="1525360432">
      <w:bodyDiv w:val="1"/>
      <w:marLeft w:val="0"/>
      <w:marRight w:val="0"/>
      <w:marTop w:val="0"/>
      <w:marBottom w:val="0"/>
      <w:divBdr>
        <w:top w:val="none" w:sz="0" w:space="0" w:color="auto"/>
        <w:left w:val="none" w:sz="0" w:space="0" w:color="auto"/>
        <w:bottom w:val="none" w:sz="0" w:space="0" w:color="auto"/>
        <w:right w:val="none" w:sz="0" w:space="0" w:color="auto"/>
      </w:divBdr>
    </w:div>
    <w:div w:id="1528517544">
      <w:bodyDiv w:val="1"/>
      <w:marLeft w:val="0"/>
      <w:marRight w:val="0"/>
      <w:marTop w:val="0"/>
      <w:marBottom w:val="0"/>
      <w:divBdr>
        <w:top w:val="none" w:sz="0" w:space="0" w:color="auto"/>
        <w:left w:val="none" w:sz="0" w:space="0" w:color="auto"/>
        <w:bottom w:val="none" w:sz="0" w:space="0" w:color="auto"/>
        <w:right w:val="none" w:sz="0" w:space="0" w:color="auto"/>
      </w:divBdr>
    </w:div>
    <w:div w:id="1537742376">
      <w:bodyDiv w:val="1"/>
      <w:marLeft w:val="0"/>
      <w:marRight w:val="0"/>
      <w:marTop w:val="0"/>
      <w:marBottom w:val="0"/>
      <w:divBdr>
        <w:top w:val="none" w:sz="0" w:space="0" w:color="auto"/>
        <w:left w:val="none" w:sz="0" w:space="0" w:color="auto"/>
        <w:bottom w:val="none" w:sz="0" w:space="0" w:color="auto"/>
        <w:right w:val="none" w:sz="0" w:space="0" w:color="auto"/>
      </w:divBdr>
    </w:div>
    <w:div w:id="1544363646">
      <w:bodyDiv w:val="1"/>
      <w:marLeft w:val="0"/>
      <w:marRight w:val="0"/>
      <w:marTop w:val="0"/>
      <w:marBottom w:val="0"/>
      <w:divBdr>
        <w:top w:val="none" w:sz="0" w:space="0" w:color="auto"/>
        <w:left w:val="none" w:sz="0" w:space="0" w:color="auto"/>
        <w:bottom w:val="none" w:sz="0" w:space="0" w:color="auto"/>
        <w:right w:val="none" w:sz="0" w:space="0" w:color="auto"/>
      </w:divBdr>
    </w:div>
    <w:div w:id="1546022122">
      <w:bodyDiv w:val="1"/>
      <w:marLeft w:val="0"/>
      <w:marRight w:val="0"/>
      <w:marTop w:val="0"/>
      <w:marBottom w:val="0"/>
      <w:divBdr>
        <w:top w:val="none" w:sz="0" w:space="0" w:color="auto"/>
        <w:left w:val="none" w:sz="0" w:space="0" w:color="auto"/>
        <w:bottom w:val="none" w:sz="0" w:space="0" w:color="auto"/>
        <w:right w:val="none" w:sz="0" w:space="0" w:color="auto"/>
      </w:divBdr>
    </w:div>
    <w:div w:id="1551767287">
      <w:bodyDiv w:val="1"/>
      <w:marLeft w:val="0"/>
      <w:marRight w:val="0"/>
      <w:marTop w:val="0"/>
      <w:marBottom w:val="0"/>
      <w:divBdr>
        <w:top w:val="none" w:sz="0" w:space="0" w:color="auto"/>
        <w:left w:val="none" w:sz="0" w:space="0" w:color="auto"/>
        <w:bottom w:val="none" w:sz="0" w:space="0" w:color="auto"/>
        <w:right w:val="none" w:sz="0" w:space="0" w:color="auto"/>
      </w:divBdr>
    </w:div>
    <w:div w:id="1644309615">
      <w:bodyDiv w:val="1"/>
      <w:marLeft w:val="0"/>
      <w:marRight w:val="0"/>
      <w:marTop w:val="0"/>
      <w:marBottom w:val="0"/>
      <w:divBdr>
        <w:top w:val="none" w:sz="0" w:space="0" w:color="auto"/>
        <w:left w:val="none" w:sz="0" w:space="0" w:color="auto"/>
        <w:bottom w:val="none" w:sz="0" w:space="0" w:color="auto"/>
        <w:right w:val="none" w:sz="0" w:space="0" w:color="auto"/>
      </w:divBdr>
    </w:div>
    <w:div w:id="1668364925">
      <w:bodyDiv w:val="1"/>
      <w:marLeft w:val="0"/>
      <w:marRight w:val="0"/>
      <w:marTop w:val="0"/>
      <w:marBottom w:val="0"/>
      <w:divBdr>
        <w:top w:val="none" w:sz="0" w:space="0" w:color="auto"/>
        <w:left w:val="none" w:sz="0" w:space="0" w:color="auto"/>
        <w:bottom w:val="none" w:sz="0" w:space="0" w:color="auto"/>
        <w:right w:val="none" w:sz="0" w:space="0" w:color="auto"/>
      </w:divBdr>
    </w:div>
    <w:div w:id="1679309428">
      <w:bodyDiv w:val="1"/>
      <w:marLeft w:val="0"/>
      <w:marRight w:val="0"/>
      <w:marTop w:val="0"/>
      <w:marBottom w:val="0"/>
      <w:divBdr>
        <w:top w:val="none" w:sz="0" w:space="0" w:color="auto"/>
        <w:left w:val="none" w:sz="0" w:space="0" w:color="auto"/>
        <w:bottom w:val="none" w:sz="0" w:space="0" w:color="auto"/>
        <w:right w:val="none" w:sz="0" w:space="0" w:color="auto"/>
      </w:divBdr>
    </w:div>
    <w:div w:id="1683162068">
      <w:bodyDiv w:val="1"/>
      <w:marLeft w:val="0"/>
      <w:marRight w:val="0"/>
      <w:marTop w:val="0"/>
      <w:marBottom w:val="0"/>
      <w:divBdr>
        <w:top w:val="none" w:sz="0" w:space="0" w:color="auto"/>
        <w:left w:val="none" w:sz="0" w:space="0" w:color="auto"/>
        <w:bottom w:val="none" w:sz="0" w:space="0" w:color="auto"/>
        <w:right w:val="none" w:sz="0" w:space="0" w:color="auto"/>
      </w:divBdr>
    </w:div>
    <w:div w:id="1690330653">
      <w:bodyDiv w:val="1"/>
      <w:marLeft w:val="0"/>
      <w:marRight w:val="0"/>
      <w:marTop w:val="0"/>
      <w:marBottom w:val="0"/>
      <w:divBdr>
        <w:top w:val="none" w:sz="0" w:space="0" w:color="auto"/>
        <w:left w:val="none" w:sz="0" w:space="0" w:color="auto"/>
        <w:bottom w:val="none" w:sz="0" w:space="0" w:color="auto"/>
        <w:right w:val="none" w:sz="0" w:space="0" w:color="auto"/>
      </w:divBdr>
    </w:div>
    <w:div w:id="1713848080">
      <w:bodyDiv w:val="1"/>
      <w:marLeft w:val="0"/>
      <w:marRight w:val="0"/>
      <w:marTop w:val="0"/>
      <w:marBottom w:val="0"/>
      <w:divBdr>
        <w:top w:val="none" w:sz="0" w:space="0" w:color="auto"/>
        <w:left w:val="none" w:sz="0" w:space="0" w:color="auto"/>
        <w:bottom w:val="none" w:sz="0" w:space="0" w:color="auto"/>
        <w:right w:val="none" w:sz="0" w:space="0" w:color="auto"/>
      </w:divBdr>
    </w:div>
    <w:div w:id="1719816945">
      <w:bodyDiv w:val="1"/>
      <w:marLeft w:val="0"/>
      <w:marRight w:val="0"/>
      <w:marTop w:val="0"/>
      <w:marBottom w:val="0"/>
      <w:divBdr>
        <w:top w:val="none" w:sz="0" w:space="0" w:color="auto"/>
        <w:left w:val="none" w:sz="0" w:space="0" w:color="auto"/>
        <w:bottom w:val="none" w:sz="0" w:space="0" w:color="auto"/>
        <w:right w:val="none" w:sz="0" w:space="0" w:color="auto"/>
      </w:divBdr>
    </w:div>
    <w:div w:id="1736926061">
      <w:bodyDiv w:val="1"/>
      <w:marLeft w:val="0"/>
      <w:marRight w:val="0"/>
      <w:marTop w:val="0"/>
      <w:marBottom w:val="0"/>
      <w:divBdr>
        <w:top w:val="none" w:sz="0" w:space="0" w:color="auto"/>
        <w:left w:val="none" w:sz="0" w:space="0" w:color="auto"/>
        <w:bottom w:val="none" w:sz="0" w:space="0" w:color="auto"/>
        <w:right w:val="none" w:sz="0" w:space="0" w:color="auto"/>
      </w:divBdr>
    </w:div>
    <w:div w:id="1747409957">
      <w:bodyDiv w:val="1"/>
      <w:marLeft w:val="0"/>
      <w:marRight w:val="0"/>
      <w:marTop w:val="0"/>
      <w:marBottom w:val="0"/>
      <w:divBdr>
        <w:top w:val="none" w:sz="0" w:space="0" w:color="auto"/>
        <w:left w:val="none" w:sz="0" w:space="0" w:color="auto"/>
        <w:bottom w:val="none" w:sz="0" w:space="0" w:color="auto"/>
        <w:right w:val="none" w:sz="0" w:space="0" w:color="auto"/>
      </w:divBdr>
    </w:div>
    <w:div w:id="1754928811">
      <w:bodyDiv w:val="1"/>
      <w:marLeft w:val="0"/>
      <w:marRight w:val="0"/>
      <w:marTop w:val="0"/>
      <w:marBottom w:val="0"/>
      <w:divBdr>
        <w:top w:val="none" w:sz="0" w:space="0" w:color="auto"/>
        <w:left w:val="none" w:sz="0" w:space="0" w:color="auto"/>
        <w:bottom w:val="none" w:sz="0" w:space="0" w:color="auto"/>
        <w:right w:val="none" w:sz="0" w:space="0" w:color="auto"/>
      </w:divBdr>
    </w:div>
    <w:div w:id="1780444490">
      <w:bodyDiv w:val="1"/>
      <w:marLeft w:val="0"/>
      <w:marRight w:val="0"/>
      <w:marTop w:val="0"/>
      <w:marBottom w:val="0"/>
      <w:divBdr>
        <w:top w:val="none" w:sz="0" w:space="0" w:color="auto"/>
        <w:left w:val="none" w:sz="0" w:space="0" w:color="auto"/>
        <w:bottom w:val="none" w:sz="0" w:space="0" w:color="auto"/>
        <w:right w:val="none" w:sz="0" w:space="0" w:color="auto"/>
      </w:divBdr>
    </w:div>
    <w:div w:id="1788352838">
      <w:bodyDiv w:val="1"/>
      <w:marLeft w:val="0"/>
      <w:marRight w:val="0"/>
      <w:marTop w:val="0"/>
      <w:marBottom w:val="0"/>
      <w:divBdr>
        <w:top w:val="none" w:sz="0" w:space="0" w:color="auto"/>
        <w:left w:val="none" w:sz="0" w:space="0" w:color="auto"/>
        <w:bottom w:val="none" w:sz="0" w:space="0" w:color="auto"/>
        <w:right w:val="none" w:sz="0" w:space="0" w:color="auto"/>
      </w:divBdr>
    </w:div>
    <w:div w:id="1793865828">
      <w:bodyDiv w:val="1"/>
      <w:marLeft w:val="0"/>
      <w:marRight w:val="0"/>
      <w:marTop w:val="0"/>
      <w:marBottom w:val="0"/>
      <w:divBdr>
        <w:top w:val="none" w:sz="0" w:space="0" w:color="auto"/>
        <w:left w:val="none" w:sz="0" w:space="0" w:color="auto"/>
        <w:bottom w:val="none" w:sz="0" w:space="0" w:color="auto"/>
        <w:right w:val="none" w:sz="0" w:space="0" w:color="auto"/>
      </w:divBdr>
    </w:div>
    <w:div w:id="1804805287">
      <w:bodyDiv w:val="1"/>
      <w:marLeft w:val="0"/>
      <w:marRight w:val="0"/>
      <w:marTop w:val="0"/>
      <w:marBottom w:val="0"/>
      <w:divBdr>
        <w:top w:val="none" w:sz="0" w:space="0" w:color="auto"/>
        <w:left w:val="none" w:sz="0" w:space="0" w:color="auto"/>
        <w:bottom w:val="none" w:sz="0" w:space="0" w:color="auto"/>
        <w:right w:val="none" w:sz="0" w:space="0" w:color="auto"/>
      </w:divBdr>
    </w:div>
    <w:div w:id="1823157997">
      <w:bodyDiv w:val="1"/>
      <w:marLeft w:val="0"/>
      <w:marRight w:val="0"/>
      <w:marTop w:val="0"/>
      <w:marBottom w:val="0"/>
      <w:divBdr>
        <w:top w:val="none" w:sz="0" w:space="0" w:color="auto"/>
        <w:left w:val="none" w:sz="0" w:space="0" w:color="auto"/>
        <w:bottom w:val="none" w:sz="0" w:space="0" w:color="auto"/>
        <w:right w:val="none" w:sz="0" w:space="0" w:color="auto"/>
      </w:divBdr>
    </w:div>
    <w:div w:id="1829977791">
      <w:bodyDiv w:val="1"/>
      <w:marLeft w:val="0"/>
      <w:marRight w:val="0"/>
      <w:marTop w:val="0"/>
      <w:marBottom w:val="0"/>
      <w:divBdr>
        <w:top w:val="none" w:sz="0" w:space="0" w:color="auto"/>
        <w:left w:val="none" w:sz="0" w:space="0" w:color="auto"/>
        <w:bottom w:val="none" w:sz="0" w:space="0" w:color="auto"/>
        <w:right w:val="none" w:sz="0" w:space="0" w:color="auto"/>
      </w:divBdr>
    </w:div>
    <w:div w:id="1895116124">
      <w:bodyDiv w:val="1"/>
      <w:marLeft w:val="0"/>
      <w:marRight w:val="0"/>
      <w:marTop w:val="0"/>
      <w:marBottom w:val="0"/>
      <w:divBdr>
        <w:top w:val="none" w:sz="0" w:space="0" w:color="auto"/>
        <w:left w:val="none" w:sz="0" w:space="0" w:color="auto"/>
        <w:bottom w:val="none" w:sz="0" w:space="0" w:color="auto"/>
        <w:right w:val="none" w:sz="0" w:space="0" w:color="auto"/>
      </w:divBdr>
    </w:div>
    <w:div w:id="1930236756">
      <w:bodyDiv w:val="1"/>
      <w:marLeft w:val="0"/>
      <w:marRight w:val="0"/>
      <w:marTop w:val="0"/>
      <w:marBottom w:val="0"/>
      <w:divBdr>
        <w:top w:val="none" w:sz="0" w:space="0" w:color="auto"/>
        <w:left w:val="none" w:sz="0" w:space="0" w:color="auto"/>
        <w:bottom w:val="none" w:sz="0" w:space="0" w:color="auto"/>
        <w:right w:val="none" w:sz="0" w:space="0" w:color="auto"/>
      </w:divBdr>
    </w:div>
    <w:div w:id="1952004771">
      <w:bodyDiv w:val="1"/>
      <w:marLeft w:val="0"/>
      <w:marRight w:val="0"/>
      <w:marTop w:val="0"/>
      <w:marBottom w:val="0"/>
      <w:divBdr>
        <w:top w:val="none" w:sz="0" w:space="0" w:color="auto"/>
        <w:left w:val="none" w:sz="0" w:space="0" w:color="auto"/>
        <w:bottom w:val="none" w:sz="0" w:space="0" w:color="auto"/>
        <w:right w:val="none" w:sz="0" w:space="0" w:color="auto"/>
      </w:divBdr>
    </w:div>
    <w:div w:id="1964651024">
      <w:bodyDiv w:val="1"/>
      <w:marLeft w:val="0"/>
      <w:marRight w:val="0"/>
      <w:marTop w:val="0"/>
      <w:marBottom w:val="0"/>
      <w:divBdr>
        <w:top w:val="none" w:sz="0" w:space="0" w:color="auto"/>
        <w:left w:val="none" w:sz="0" w:space="0" w:color="auto"/>
        <w:bottom w:val="none" w:sz="0" w:space="0" w:color="auto"/>
        <w:right w:val="none" w:sz="0" w:space="0" w:color="auto"/>
      </w:divBdr>
    </w:div>
    <w:div w:id="1970435461">
      <w:bodyDiv w:val="1"/>
      <w:marLeft w:val="0"/>
      <w:marRight w:val="0"/>
      <w:marTop w:val="0"/>
      <w:marBottom w:val="0"/>
      <w:divBdr>
        <w:top w:val="none" w:sz="0" w:space="0" w:color="auto"/>
        <w:left w:val="none" w:sz="0" w:space="0" w:color="auto"/>
        <w:bottom w:val="none" w:sz="0" w:space="0" w:color="auto"/>
        <w:right w:val="none" w:sz="0" w:space="0" w:color="auto"/>
      </w:divBdr>
    </w:div>
    <w:div w:id="1987853480">
      <w:bodyDiv w:val="1"/>
      <w:marLeft w:val="0"/>
      <w:marRight w:val="0"/>
      <w:marTop w:val="0"/>
      <w:marBottom w:val="0"/>
      <w:divBdr>
        <w:top w:val="none" w:sz="0" w:space="0" w:color="auto"/>
        <w:left w:val="none" w:sz="0" w:space="0" w:color="auto"/>
        <w:bottom w:val="none" w:sz="0" w:space="0" w:color="auto"/>
        <w:right w:val="none" w:sz="0" w:space="0" w:color="auto"/>
      </w:divBdr>
    </w:div>
    <w:div w:id="2045867254">
      <w:bodyDiv w:val="1"/>
      <w:marLeft w:val="0"/>
      <w:marRight w:val="0"/>
      <w:marTop w:val="0"/>
      <w:marBottom w:val="0"/>
      <w:divBdr>
        <w:top w:val="none" w:sz="0" w:space="0" w:color="auto"/>
        <w:left w:val="none" w:sz="0" w:space="0" w:color="auto"/>
        <w:bottom w:val="none" w:sz="0" w:space="0" w:color="auto"/>
        <w:right w:val="none" w:sz="0" w:space="0" w:color="auto"/>
      </w:divBdr>
    </w:div>
    <w:div w:id="2088263241">
      <w:bodyDiv w:val="1"/>
      <w:marLeft w:val="0"/>
      <w:marRight w:val="0"/>
      <w:marTop w:val="0"/>
      <w:marBottom w:val="0"/>
      <w:divBdr>
        <w:top w:val="none" w:sz="0" w:space="0" w:color="auto"/>
        <w:left w:val="none" w:sz="0" w:space="0" w:color="auto"/>
        <w:bottom w:val="none" w:sz="0" w:space="0" w:color="auto"/>
        <w:right w:val="none" w:sz="0" w:space="0" w:color="auto"/>
      </w:divBdr>
    </w:div>
    <w:div w:id="2098474609">
      <w:bodyDiv w:val="1"/>
      <w:marLeft w:val="0"/>
      <w:marRight w:val="0"/>
      <w:marTop w:val="0"/>
      <w:marBottom w:val="0"/>
      <w:divBdr>
        <w:top w:val="none" w:sz="0" w:space="0" w:color="auto"/>
        <w:left w:val="none" w:sz="0" w:space="0" w:color="auto"/>
        <w:bottom w:val="none" w:sz="0" w:space="0" w:color="auto"/>
        <w:right w:val="none" w:sz="0" w:space="0" w:color="auto"/>
      </w:divBdr>
    </w:div>
    <w:div w:id="2100827637">
      <w:bodyDiv w:val="1"/>
      <w:marLeft w:val="0"/>
      <w:marRight w:val="0"/>
      <w:marTop w:val="0"/>
      <w:marBottom w:val="0"/>
      <w:divBdr>
        <w:top w:val="none" w:sz="0" w:space="0" w:color="auto"/>
        <w:left w:val="none" w:sz="0" w:space="0" w:color="auto"/>
        <w:bottom w:val="none" w:sz="0" w:space="0" w:color="auto"/>
        <w:right w:val="none" w:sz="0" w:space="0" w:color="auto"/>
      </w:divBdr>
    </w:div>
    <w:div w:id="2112432591">
      <w:bodyDiv w:val="1"/>
      <w:marLeft w:val="0"/>
      <w:marRight w:val="0"/>
      <w:marTop w:val="0"/>
      <w:marBottom w:val="0"/>
      <w:divBdr>
        <w:top w:val="none" w:sz="0" w:space="0" w:color="auto"/>
        <w:left w:val="none" w:sz="0" w:space="0" w:color="auto"/>
        <w:bottom w:val="none" w:sz="0" w:space="0" w:color="auto"/>
        <w:right w:val="none" w:sz="0" w:space="0" w:color="auto"/>
      </w:divBdr>
    </w:div>
    <w:div w:id="21218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docs.google.com/spreadsheets/d/1AE97NSz8QySysd-DHn-P4VrcXg-E8IW4/edit?usp=sharing&amp;ouid=100121937455263932238&amp;rtpof=true&amp;sd=true"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HNG%20INTERNSHIP\Undervalued_Compan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HNG%20INTERNSHIP\Undervalued_Compan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HNG%20INTERNSHIP\Undervalued_Compan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HNG%20INTERNSHIP\Undervalued_Compan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HNG%20INTERNSHIP\Undervalued_Compani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Valuation_Model!$C$2</c:f>
              <c:strCache>
                <c:ptCount val="1"/>
                <c:pt idx="0">
                  <c:v>Market Capitalization($M) </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980-4DAB-9F24-EB3E2584D33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980-4DAB-9F24-EB3E2584D33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4980-4DAB-9F24-EB3E2584D33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4980-4DAB-9F24-EB3E2584D337}"/>
              </c:ext>
            </c:extLst>
          </c:dPt>
          <c:dLbls>
            <c:dLbl>
              <c:idx val="3"/>
              <c:layout>
                <c:manualLayout>
                  <c:x val="-2.3949654222216305E-2"/>
                  <c:y val="-4.3188293052153527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980-4DAB-9F24-EB3E2584D33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1"/>
            <c:showBubbleSize val="0"/>
            <c:showLeaderLines val="0"/>
            <c:extLst>
              <c:ext xmlns:c15="http://schemas.microsoft.com/office/drawing/2012/chart" uri="{CE6537A1-D6FC-4f65-9D91-7224C49458BB}"/>
            </c:extLst>
          </c:dLbls>
          <c:cat>
            <c:strRef>
              <c:f>Valuation_Model!$B$3:$B$6</c:f>
              <c:strCache>
                <c:ptCount val="4"/>
                <c:pt idx="0">
                  <c:v>FINANCIAL</c:v>
                </c:pt>
                <c:pt idx="1">
                  <c:v>TECHNOLOGY</c:v>
                </c:pt>
                <c:pt idx="2">
                  <c:v>REAL ESTATE </c:v>
                </c:pt>
                <c:pt idx="3">
                  <c:v>COMMUNICATION  SERVICES</c:v>
                </c:pt>
              </c:strCache>
            </c:strRef>
          </c:cat>
          <c:val>
            <c:numRef>
              <c:f>Valuation_Model!$C$3:$C$6</c:f>
              <c:numCache>
                <c:formatCode>#,##0.00</c:formatCode>
                <c:ptCount val="4"/>
                <c:pt idx="0">
                  <c:v>492.58</c:v>
                </c:pt>
                <c:pt idx="1">
                  <c:v>3390</c:v>
                </c:pt>
                <c:pt idx="2">
                  <c:v>1570</c:v>
                </c:pt>
                <c:pt idx="3">
                  <c:v>17220</c:v>
                </c:pt>
              </c:numCache>
            </c:numRef>
          </c:val>
          <c:extLst>
            <c:ext xmlns:c16="http://schemas.microsoft.com/office/drawing/2014/chart" uri="{C3380CC4-5D6E-409C-BE32-E72D297353CC}">
              <c16:uniqueId val="{00000008-4980-4DAB-9F24-EB3E2584D33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VALUE</a:t>
            </a:r>
            <a:r>
              <a:rPr lang="en-US" baseline="0"/>
              <a:t> METRICS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Valuation_Model!$D$2</c:f>
              <c:strCache>
                <c:ptCount val="1"/>
                <c:pt idx="0">
                  <c:v>Price to Earning Ratio (P/E)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Valuation_Model!$A$3:$A$6</c:f>
              <c:strCache>
                <c:ptCount val="4"/>
                <c:pt idx="0">
                  <c:v>Atlanticus Holdings Corp</c:v>
                </c:pt>
                <c:pt idx="1">
                  <c:v>Diebold Nixdorf Inc</c:v>
                </c:pt>
                <c:pt idx="2">
                  <c:v>Ready Capital Corp</c:v>
                </c:pt>
                <c:pt idx="3">
                  <c:v>Fox Corporation</c:v>
                </c:pt>
              </c:strCache>
            </c:strRef>
          </c:cat>
          <c:val>
            <c:numRef>
              <c:f>Valuation_Model!$D$3:$D$6</c:f>
              <c:numCache>
                <c:formatCode>#,##0.00</c:formatCode>
                <c:ptCount val="4"/>
                <c:pt idx="0">
                  <c:v>7.84</c:v>
                </c:pt>
                <c:pt idx="1">
                  <c:v>0.88</c:v>
                </c:pt>
                <c:pt idx="2">
                  <c:v>5.87</c:v>
                </c:pt>
                <c:pt idx="3">
                  <c:v>11.55</c:v>
                </c:pt>
              </c:numCache>
            </c:numRef>
          </c:val>
          <c:extLst>
            <c:ext xmlns:c16="http://schemas.microsoft.com/office/drawing/2014/chart" uri="{C3380CC4-5D6E-409C-BE32-E72D297353CC}">
              <c16:uniqueId val="{00000000-4B6E-4612-8733-0C894F47163C}"/>
            </c:ext>
          </c:extLst>
        </c:ser>
        <c:ser>
          <c:idx val="1"/>
          <c:order val="1"/>
          <c:tx>
            <c:strRef>
              <c:f>Valuation_Model!$E$2</c:f>
              <c:strCache>
                <c:ptCount val="1"/>
                <c:pt idx="0">
                  <c:v>Price to Sales Ratio (P/S)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Valuation_Model!$A$3:$A$6</c:f>
              <c:strCache>
                <c:ptCount val="4"/>
                <c:pt idx="0">
                  <c:v>Atlanticus Holdings Corp</c:v>
                </c:pt>
                <c:pt idx="1">
                  <c:v>Diebold Nixdorf Inc</c:v>
                </c:pt>
                <c:pt idx="2">
                  <c:v>Ready Capital Corp</c:v>
                </c:pt>
                <c:pt idx="3">
                  <c:v>Fox Corporation</c:v>
                </c:pt>
              </c:strCache>
            </c:strRef>
          </c:cat>
          <c:val>
            <c:numRef>
              <c:f>Valuation_Model!$E$3:$E$6</c:f>
              <c:numCache>
                <c:formatCode>#,##0.00</c:formatCode>
                <c:ptCount val="4"/>
                <c:pt idx="0">
                  <c:v>0.47</c:v>
                </c:pt>
                <c:pt idx="1">
                  <c:v>0.34</c:v>
                </c:pt>
                <c:pt idx="2">
                  <c:v>1.31</c:v>
                </c:pt>
                <c:pt idx="3">
                  <c:v>1.07</c:v>
                </c:pt>
              </c:numCache>
            </c:numRef>
          </c:val>
          <c:extLst>
            <c:ext xmlns:c16="http://schemas.microsoft.com/office/drawing/2014/chart" uri="{C3380CC4-5D6E-409C-BE32-E72D297353CC}">
              <c16:uniqueId val="{00000001-4B6E-4612-8733-0C894F47163C}"/>
            </c:ext>
          </c:extLst>
        </c:ser>
        <c:dLbls>
          <c:showLegendKey val="0"/>
          <c:showVal val="0"/>
          <c:showCatName val="0"/>
          <c:showSerName val="0"/>
          <c:showPercent val="0"/>
          <c:showBubbleSize val="0"/>
        </c:dLbls>
        <c:gapWidth val="150"/>
        <c:overlap val="100"/>
        <c:axId val="1707379520"/>
        <c:axId val="1707380000"/>
      </c:barChart>
      <c:catAx>
        <c:axId val="17073795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07380000"/>
        <c:crosses val="autoZero"/>
        <c:auto val="1"/>
        <c:lblAlgn val="ctr"/>
        <c:lblOffset val="100"/>
        <c:noMultiLvlLbl val="0"/>
      </c:catAx>
      <c:valAx>
        <c:axId val="170738000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0737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Valuation</a:t>
            </a:r>
            <a:r>
              <a:rPr lang="en-US" baseline="0"/>
              <a:t> Model on GP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Valuation_Model!$F$2</c:f>
              <c:strCache>
                <c:ptCount val="1"/>
                <c:pt idx="0">
                  <c:v>Gross Profit (GP) ($M)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Valuation_Model!$A$3:$A$6</c:f>
              <c:strCache>
                <c:ptCount val="4"/>
                <c:pt idx="0">
                  <c:v>Atlanticus Holdings Corp</c:v>
                </c:pt>
                <c:pt idx="1">
                  <c:v>Diebold Nixdorf Inc</c:v>
                </c:pt>
                <c:pt idx="2">
                  <c:v>Ready Capital Corp</c:v>
                </c:pt>
                <c:pt idx="3">
                  <c:v>Fox Corporation</c:v>
                </c:pt>
              </c:strCache>
            </c:strRef>
          </c:cat>
          <c:val>
            <c:numRef>
              <c:f>Valuation_Model!$F$3:$F$6</c:f>
              <c:numCache>
                <c:formatCode>#,##0.00</c:formatCode>
                <c:ptCount val="4"/>
                <c:pt idx="0">
                  <c:v>1079.67</c:v>
                </c:pt>
                <c:pt idx="1">
                  <c:v>891.6</c:v>
                </c:pt>
                <c:pt idx="2">
                  <c:v>1089.31</c:v>
                </c:pt>
                <c:pt idx="3">
                  <c:v>4443</c:v>
                </c:pt>
              </c:numCache>
            </c:numRef>
          </c:val>
          <c:extLst>
            <c:ext xmlns:c16="http://schemas.microsoft.com/office/drawing/2014/chart" uri="{C3380CC4-5D6E-409C-BE32-E72D297353CC}">
              <c16:uniqueId val="{00000000-D99C-4FE3-8C0F-D6827DBB8569}"/>
            </c:ext>
          </c:extLst>
        </c:ser>
        <c:ser>
          <c:idx val="1"/>
          <c:order val="1"/>
          <c:tx>
            <c:strRef>
              <c:f>Valuation_Model!$H$2</c:f>
              <c:strCache>
                <c:ptCount val="1"/>
                <c:pt idx="0">
                  <c:v>Future GP (4 Years) ($M)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Valuation_Model!$A$3:$A$6</c:f>
              <c:strCache>
                <c:ptCount val="4"/>
                <c:pt idx="0">
                  <c:v>Atlanticus Holdings Corp</c:v>
                </c:pt>
                <c:pt idx="1">
                  <c:v>Diebold Nixdorf Inc</c:v>
                </c:pt>
                <c:pt idx="2">
                  <c:v>Ready Capital Corp</c:v>
                </c:pt>
                <c:pt idx="3">
                  <c:v>Fox Corporation</c:v>
                </c:pt>
              </c:strCache>
            </c:strRef>
          </c:cat>
          <c:val>
            <c:numRef>
              <c:f>Valuation_Model!$H$3:$H$6</c:f>
              <c:numCache>
                <c:formatCode>#,##0.00</c:formatCode>
                <c:ptCount val="4"/>
                <c:pt idx="0">
                  <c:v>1195.0125222679394</c:v>
                </c:pt>
                <c:pt idx="1">
                  <c:v>956.04526086006786</c:v>
                </c:pt>
                <c:pt idx="2">
                  <c:v>1261.1565567031446</c:v>
                </c:pt>
                <c:pt idx="3">
                  <c:v>3226.0516561147529</c:v>
                </c:pt>
              </c:numCache>
            </c:numRef>
          </c:val>
          <c:extLst>
            <c:ext xmlns:c16="http://schemas.microsoft.com/office/drawing/2014/chart" uri="{C3380CC4-5D6E-409C-BE32-E72D297353CC}">
              <c16:uniqueId val="{00000001-D99C-4FE3-8C0F-D6827DBB8569}"/>
            </c:ext>
          </c:extLst>
        </c:ser>
        <c:dLbls>
          <c:showLegendKey val="0"/>
          <c:showVal val="0"/>
          <c:showCatName val="0"/>
          <c:showSerName val="0"/>
          <c:showPercent val="0"/>
          <c:showBubbleSize val="0"/>
        </c:dLbls>
        <c:gapWidth val="100"/>
        <c:overlap val="-24"/>
        <c:axId val="1651209296"/>
        <c:axId val="1651216016"/>
      </c:barChart>
      <c:catAx>
        <c:axId val="16512092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216016"/>
        <c:crosses val="autoZero"/>
        <c:auto val="1"/>
        <c:lblAlgn val="ctr"/>
        <c:lblOffset val="100"/>
        <c:noMultiLvlLbl val="0"/>
      </c:catAx>
      <c:valAx>
        <c:axId val="165121601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120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Market</a:t>
            </a:r>
            <a:r>
              <a:rPr lang="en-US" baseline="0"/>
              <a:t> Conditions Impact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Valuation_Model!$F$11</c:f>
              <c:strCache>
                <c:ptCount val="1"/>
                <c:pt idx="0">
                  <c:v>Gross Profit (GP) ($M)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Valuation_Model!$A$12:$A$15</c:f>
              <c:strCache>
                <c:ptCount val="4"/>
                <c:pt idx="0">
                  <c:v>Atlanticus Holdings Corp</c:v>
                </c:pt>
                <c:pt idx="1">
                  <c:v>Diebold Nixdorf Inc</c:v>
                </c:pt>
                <c:pt idx="2">
                  <c:v>Ready Capital Corp</c:v>
                </c:pt>
                <c:pt idx="3">
                  <c:v>Fox Corporation</c:v>
                </c:pt>
              </c:strCache>
            </c:strRef>
          </c:cat>
          <c:val>
            <c:numRef>
              <c:f>Valuation_Model!$F$12:$F$15</c:f>
              <c:numCache>
                <c:formatCode>#,##0.00</c:formatCode>
                <c:ptCount val="4"/>
                <c:pt idx="0">
                  <c:v>1079.67</c:v>
                </c:pt>
                <c:pt idx="1">
                  <c:v>891.6</c:v>
                </c:pt>
                <c:pt idx="2">
                  <c:v>1089.31</c:v>
                </c:pt>
                <c:pt idx="3">
                  <c:v>4443</c:v>
                </c:pt>
              </c:numCache>
            </c:numRef>
          </c:val>
          <c:extLst>
            <c:ext xmlns:c16="http://schemas.microsoft.com/office/drawing/2014/chart" uri="{C3380CC4-5D6E-409C-BE32-E72D297353CC}">
              <c16:uniqueId val="{00000000-E485-4033-A319-C9E0B251AD7F}"/>
            </c:ext>
          </c:extLst>
        </c:ser>
        <c:ser>
          <c:idx val="1"/>
          <c:order val="1"/>
          <c:tx>
            <c:strRef>
              <c:f>Valuation_Model!$H$11</c:f>
              <c:strCache>
                <c:ptCount val="1"/>
                <c:pt idx="0">
                  <c:v>Adjusted Future GP (Future GP * 1.05) ($M)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Valuation_Model!$A$12:$A$15</c:f>
              <c:strCache>
                <c:ptCount val="4"/>
                <c:pt idx="0">
                  <c:v>Atlanticus Holdings Corp</c:v>
                </c:pt>
                <c:pt idx="1">
                  <c:v>Diebold Nixdorf Inc</c:v>
                </c:pt>
                <c:pt idx="2">
                  <c:v>Ready Capital Corp</c:v>
                </c:pt>
                <c:pt idx="3">
                  <c:v>Fox Corporation</c:v>
                </c:pt>
              </c:strCache>
            </c:strRef>
          </c:cat>
          <c:val>
            <c:numRef>
              <c:f>Valuation_Model!$H$12:$H$15</c:f>
              <c:numCache>
                <c:formatCode>#,##0.00</c:formatCode>
                <c:ptCount val="4"/>
                <c:pt idx="0">
                  <c:v>1254.7631483813364</c:v>
                </c:pt>
                <c:pt idx="1">
                  <c:v>1003.8475239030713</c:v>
                </c:pt>
                <c:pt idx="2">
                  <c:v>1324.2143845383018</c:v>
                </c:pt>
                <c:pt idx="3">
                  <c:v>3387.3542389204908</c:v>
                </c:pt>
              </c:numCache>
            </c:numRef>
          </c:val>
          <c:extLst>
            <c:ext xmlns:c16="http://schemas.microsoft.com/office/drawing/2014/chart" uri="{C3380CC4-5D6E-409C-BE32-E72D297353CC}">
              <c16:uniqueId val="{00000001-E485-4033-A319-C9E0B251AD7F}"/>
            </c:ext>
          </c:extLst>
        </c:ser>
        <c:dLbls>
          <c:showLegendKey val="0"/>
          <c:showVal val="0"/>
          <c:showCatName val="0"/>
          <c:showSerName val="0"/>
          <c:showPercent val="0"/>
          <c:showBubbleSize val="0"/>
        </c:dLbls>
        <c:gapWidth val="100"/>
        <c:overlap val="-24"/>
        <c:axId val="208261248"/>
        <c:axId val="208262208"/>
      </c:barChart>
      <c:catAx>
        <c:axId val="2082612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262208"/>
        <c:crosses val="autoZero"/>
        <c:auto val="1"/>
        <c:lblAlgn val="ctr"/>
        <c:lblOffset val="100"/>
        <c:noMultiLvlLbl val="0"/>
      </c:catAx>
      <c:valAx>
        <c:axId val="20826220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26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 Valuation Comparison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Valuation_Model!$C$11</c:f>
              <c:strCache>
                <c:ptCount val="1"/>
                <c:pt idx="0">
                  <c:v>Market Capitalization($M)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Valuation_Model!$A$12:$A$15</c:f>
              <c:strCache>
                <c:ptCount val="4"/>
                <c:pt idx="0">
                  <c:v>Atlanticus Holdings Corp</c:v>
                </c:pt>
                <c:pt idx="1">
                  <c:v>Diebold Nixdorf Inc</c:v>
                </c:pt>
                <c:pt idx="2">
                  <c:v>Ready Capital Corp</c:v>
                </c:pt>
                <c:pt idx="3">
                  <c:v>Fox Corporation</c:v>
                </c:pt>
              </c:strCache>
            </c:strRef>
          </c:cat>
          <c:val>
            <c:numRef>
              <c:f>Valuation_Model!$C$12:$C$15</c:f>
              <c:numCache>
                <c:formatCode>#,##0.00</c:formatCode>
                <c:ptCount val="4"/>
                <c:pt idx="0">
                  <c:v>492.58</c:v>
                </c:pt>
                <c:pt idx="1">
                  <c:v>3390</c:v>
                </c:pt>
                <c:pt idx="2">
                  <c:v>1570</c:v>
                </c:pt>
                <c:pt idx="3">
                  <c:v>17220</c:v>
                </c:pt>
              </c:numCache>
            </c:numRef>
          </c:val>
          <c:extLst>
            <c:ext xmlns:c16="http://schemas.microsoft.com/office/drawing/2014/chart" uri="{C3380CC4-5D6E-409C-BE32-E72D297353CC}">
              <c16:uniqueId val="{00000000-B1DE-42ED-B7F2-1B2C5DAD7ACA}"/>
            </c:ext>
          </c:extLst>
        </c:ser>
        <c:ser>
          <c:idx val="1"/>
          <c:order val="1"/>
          <c:tx>
            <c:strRef>
              <c:f>Valuation_Model!$J$11</c:f>
              <c:strCache>
                <c:ptCount val="1"/>
                <c:pt idx="0">
                  <c:v>Adjusted Present Value Using DCF ($M)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Valuation_Model!$A$12:$A$15</c:f>
              <c:strCache>
                <c:ptCount val="4"/>
                <c:pt idx="0">
                  <c:v>Atlanticus Holdings Corp</c:v>
                </c:pt>
                <c:pt idx="1">
                  <c:v>Diebold Nixdorf Inc</c:v>
                </c:pt>
                <c:pt idx="2">
                  <c:v>Ready Capital Corp</c:v>
                </c:pt>
                <c:pt idx="3">
                  <c:v>Fox Corporation</c:v>
                </c:pt>
              </c:strCache>
            </c:strRef>
          </c:cat>
          <c:val>
            <c:numRef>
              <c:f>Valuation_Model!$J$12:$J$15</c:f>
              <c:numCache>
                <c:formatCode>0.00</c:formatCode>
                <c:ptCount val="4"/>
                <c:pt idx="0">
                  <c:v>857.02011364069119</c:v>
                </c:pt>
                <c:pt idx="1">
                  <c:v>685.64136596070693</c:v>
                </c:pt>
                <c:pt idx="2">
                  <c:v>904.45624242763574</c:v>
                </c:pt>
                <c:pt idx="3">
                  <c:v>2313.6085232706032</c:v>
                </c:pt>
              </c:numCache>
            </c:numRef>
          </c:val>
          <c:extLst>
            <c:ext xmlns:c16="http://schemas.microsoft.com/office/drawing/2014/chart" uri="{C3380CC4-5D6E-409C-BE32-E72D297353CC}">
              <c16:uniqueId val="{00000001-B1DE-42ED-B7F2-1B2C5DAD7ACA}"/>
            </c:ext>
          </c:extLst>
        </c:ser>
        <c:dLbls>
          <c:showLegendKey val="0"/>
          <c:showVal val="0"/>
          <c:showCatName val="0"/>
          <c:showSerName val="0"/>
          <c:showPercent val="0"/>
          <c:showBubbleSize val="0"/>
        </c:dLbls>
        <c:gapWidth val="100"/>
        <c:overlap val="-24"/>
        <c:axId val="1654354528"/>
        <c:axId val="209721760"/>
      </c:barChart>
      <c:catAx>
        <c:axId val="16543545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721760"/>
        <c:crosses val="autoZero"/>
        <c:auto val="1"/>
        <c:lblAlgn val="ctr"/>
        <c:lblOffset val="100"/>
        <c:noMultiLvlLbl val="0"/>
      </c:catAx>
      <c:valAx>
        <c:axId val="20972176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435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14</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jesutola adebowale</dc:creator>
  <cp:keywords/>
  <dc:description/>
  <cp:lastModifiedBy>jesutola adebowale</cp:lastModifiedBy>
  <cp:revision>11</cp:revision>
  <cp:lastPrinted>2024-07-21T11:55:00Z</cp:lastPrinted>
  <dcterms:created xsi:type="dcterms:W3CDTF">2024-07-20T23:22:00Z</dcterms:created>
  <dcterms:modified xsi:type="dcterms:W3CDTF">2024-07-21T11:56:00Z</dcterms:modified>
</cp:coreProperties>
</file>