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12.xml" ContentType="application/vnd.ms-office.chartcolorstyle+xml"/>
  <Override PartName="/word/charts/colors13.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12.xml" ContentType="application/vnd.ms-office.chartstyle+xml"/>
  <Override PartName="/word/charts/style13.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E28254">
      <w:pPr>
        <w:pStyle w:val="14"/>
        <w:keepNext w:val="0"/>
        <w:keepLines w:val="0"/>
        <w:pageBreakBefore w:val="0"/>
        <w:widowControl w:val="0"/>
        <w:shd w:val="clear"/>
        <w:kinsoku/>
        <w:wordWrap/>
        <w:overflowPunct/>
        <w:topLinePunct w:val="0"/>
        <w:autoSpaceDE/>
        <w:autoSpaceDN/>
        <w:bidi w:val="0"/>
        <w:adjustRightInd/>
        <w:snapToGrid/>
        <w:spacing w:line="560" w:lineRule="exact"/>
        <w:ind w:firstLine="0" w:firstLineChars="0"/>
        <w:textAlignment w:val="auto"/>
        <w:rPr>
          <w:rFonts w:hint="eastAsia" w:ascii="方正小标宋简体" w:hAnsi="方正小标宋简体" w:eastAsia="方正小标宋简体" w:cs="方正小标宋简体"/>
          <w:highlight w:val="none"/>
          <w:lang w:val="en-US" w:eastAsia="zh-CN"/>
        </w:rPr>
      </w:pPr>
      <w:r>
        <w:rPr>
          <w:rFonts w:hint="eastAsia" w:ascii="方正小标宋简体" w:hAnsi="方正小标宋简体" w:eastAsia="方正小标宋简体" w:cs="方正小标宋简体"/>
          <w:highlight w:val="none"/>
          <w:lang w:val="en-US" w:eastAsia="zh-CN"/>
        </w:rPr>
        <w:t>上海市售电量与GDP关联关系分析报告</w:t>
      </w:r>
    </w:p>
    <w:p w14:paraId="4DAE2FD2">
      <w:pPr>
        <w:keepNext w:val="0"/>
        <w:keepLines w:val="0"/>
        <w:pageBreakBefore w:val="0"/>
        <w:widowControl w:val="0"/>
        <w:shd w:val="clear"/>
        <w:kinsoku/>
        <w:wordWrap/>
        <w:overflowPunct/>
        <w:topLinePunct w:val="0"/>
        <w:autoSpaceDE/>
        <w:autoSpaceDN/>
        <w:bidi w:val="0"/>
        <w:adjustRightInd/>
        <w:snapToGrid/>
        <w:spacing w:line="560" w:lineRule="exact"/>
        <w:textAlignment w:val="auto"/>
        <w:rPr>
          <w:rFonts w:hint="default"/>
          <w:highlight w:val="none"/>
          <w:lang w:val="en-US" w:eastAsia="zh-CN"/>
        </w:rPr>
      </w:pPr>
    </w:p>
    <w:p w14:paraId="2FF085C2">
      <w:pPr>
        <w:keepNext w:val="0"/>
        <w:keepLines w:val="0"/>
        <w:pageBreakBefore w:val="0"/>
        <w:widowControl w:val="0"/>
        <w:shd w:val="clear"/>
        <w:kinsoku/>
        <w:wordWrap/>
        <w:overflowPunct/>
        <w:topLinePunct w:val="0"/>
        <w:autoSpaceDE/>
        <w:autoSpaceDN/>
        <w:bidi w:val="0"/>
        <w:adjustRightInd/>
        <w:snapToGrid/>
        <w:spacing w:line="560" w:lineRule="exact"/>
        <w:textAlignment w:val="auto"/>
        <w:rPr>
          <w:rFonts w:hint="default"/>
          <w:sz w:val="32"/>
          <w:szCs w:val="32"/>
          <w:highlight w:val="none"/>
          <w:lang w:val="en-US" w:eastAsia="zh-CN"/>
        </w:rPr>
      </w:pPr>
      <w:r>
        <w:rPr>
          <w:rFonts w:hint="eastAsia"/>
          <w:sz w:val="32"/>
          <w:szCs w:val="32"/>
          <w:highlight w:val="none"/>
          <w:lang w:val="en-US" w:eastAsia="zh-CN"/>
        </w:rPr>
        <w:t>2024年上半年，上海市售电量同比增长6.04%（剔除城乡居民生活用电后同比增长5.50%），而全市生产总值（以下简称GDP）同比增长4.80%（按不变价格计算），售电量增速大于GDP增速。本报告将从电力消费弹性系数角度对售电量和GDP关系进行分析，并挖掘增速差异原因。</w:t>
      </w:r>
    </w:p>
    <w:p w14:paraId="749F845A">
      <w:pPr>
        <w:pStyle w:val="2"/>
        <w:keepNext/>
        <w:keepLines/>
        <w:pageBreakBefore w:val="0"/>
        <w:widowControl w:val="0"/>
        <w:numPr>
          <w:ilvl w:val="0"/>
          <w:numId w:val="5"/>
        </w:numPr>
        <w:shd w:val="clear"/>
        <w:kinsoku/>
        <w:wordWrap/>
        <w:overflowPunct/>
        <w:topLinePunct w:val="0"/>
        <w:autoSpaceDE/>
        <w:autoSpaceDN/>
        <w:bidi w:val="0"/>
        <w:adjustRightInd/>
        <w:snapToGrid/>
        <w:spacing w:line="560" w:lineRule="exact"/>
        <w:ind w:leftChars="0" w:firstLine="640" w:firstLineChars="200"/>
        <w:textAlignment w:val="auto"/>
        <w:rPr>
          <w:rFonts w:hint="default"/>
          <w:b w:val="0"/>
          <w:bCs w:val="0"/>
          <w:sz w:val="32"/>
          <w:szCs w:val="32"/>
          <w:highlight w:val="none"/>
          <w:lang w:val="en-US" w:eastAsia="zh-CN"/>
        </w:rPr>
      </w:pPr>
      <w:r>
        <w:rPr>
          <w:rFonts w:hint="eastAsia"/>
          <w:b w:val="0"/>
          <w:bCs w:val="0"/>
          <w:sz w:val="32"/>
          <w:szCs w:val="32"/>
          <w:highlight w:val="none"/>
          <w:lang w:val="en-US" w:eastAsia="zh-CN"/>
        </w:rPr>
        <w:t>电力消费弹性系数</w:t>
      </w:r>
    </w:p>
    <w:p w14:paraId="19352A24">
      <w:pPr>
        <w:keepNext w:val="0"/>
        <w:keepLines w:val="0"/>
        <w:pageBreakBefore w:val="0"/>
        <w:widowControl w:val="0"/>
        <w:numPr>
          <w:ilvl w:val="0"/>
          <w:numId w:val="6"/>
        </w:numPr>
        <w:shd w:val="clear"/>
        <w:kinsoku/>
        <w:wordWrap/>
        <w:overflowPunct/>
        <w:topLinePunct w:val="0"/>
        <w:autoSpaceDE/>
        <w:autoSpaceDN/>
        <w:bidi w:val="0"/>
        <w:adjustRightInd/>
        <w:snapToGrid/>
        <w:spacing w:line="560" w:lineRule="exact"/>
        <w:ind w:left="0" w:leftChars="0" w:firstLine="643" w:firstLineChars="200"/>
        <w:textAlignment w:val="auto"/>
        <w:outlineLvl w:val="1"/>
        <w:rPr>
          <w:rFonts w:hint="eastAsia" w:ascii="楷体" w:hAnsi="楷体" w:eastAsia="楷体" w:cs="楷体"/>
          <w:b/>
          <w:bCs/>
          <w:sz w:val="32"/>
          <w:szCs w:val="32"/>
          <w:highlight w:val="none"/>
          <w:lang w:val="en-US" w:eastAsia="zh-CN"/>
        </w:rPr>
      </w:pPr>
      <w:r>
        <w:rPr>
          <w:rFonts w:hint="eastAsia" w:ascii="楷体" w:hAnsi="楷体" w:eastAsia="楷体" w:cs="楷体"/>
          <w:b/>
          <w:bCs/>
          <w:sz w:val="32"/>
          <w:szCs w:val="32"/>
          <w:highlight w:val="none"/>
          <w:lang w:val="en-US" w:eastAsia="zh-CN"/>
        </w:rPr>
        <w:t>概述</w:t>
      </w:r>
    </w:p>
    <w:p w14:paraId="1CC9B05B">
      <w:pPr>
        <w:keepNext w:val="0"/>
        <w:keepLines w:val="0"/>
        <w:pageBreakBefore w:val="0"/>
        <w:widowControl/>
        <w:numPr>
          <w:ilvl w:val="-1"/>
          <w:numId w:val="0"/>
        </w:numPr>
        <w:shd w:val="clear"/>
        <w:kinsoku/>
        <w:wordWrap/>
        <w:overflowPunct/>
        <w:topLinePunct w:val="0"/>
        <w:autoSpaceDE/>
        <w:autoSpaceDN/>
        <w:bidi w:val="0"/>
        <w:adjustRightInd/>
        <w:snapToGrid/>
        <w:spacing w:line="560" w:lineRule="exact"/>
        <w:ind w:leftChars="0" w:firstLine="640" w:firstLineChars="200"/>
        <w:textAlignment w:val="auto"/>
        <w:rPr>
          <w:rFonts w:hint="eastAsia"/>
          <w:sz w:val="32"/>
          <w:szCs w:val="32"/>
          <w:highlight w:val="none"/>
          <w:lang w:val="en-US" w:eastAsia="zh-CN"/>
        </w:rPr>
      </w:pPr>
      <w:r>
        <w:rPr>
          <w:rFonts w:hint="eastAsia"/>
          <w:sz w:val="32"/>
          <w:szCs w:val="32"/>
          <w:highlight w:val="none"/>
          <w:lang w:val="en-US" w:eastAsia="zh-CN"/>
        </w:rPr>
        <w:t>电力消费弹性系数，即售电量增长率与GDP增长率的比值。受经济周期、产业政策调整、气温、电气化水平等因素影响，电力消费弹性系数围绕“1”上下波动。</w:t>
      </w:r>
    </w:p>
    <w:p w14:paraId="07A97220">
      <w:pPr>
        <w:keepNext w:val="0"/>
        <w:keepLines w:val="0"/>
        <w:pageBreakBefore w:val="0"/>
        <w:widowControl/>
        <w:numPr>
          <w:ilvl w:val="-1"/>
          <w:numId w:val="0"/>
        </w:numPr>
        <w:shd w:val="clear"/>
        <w:kinsoku/>
        <w:wordWrap/>
        <w:overflowPunct/>
        <w:topLinePunct w:val="0"/>
        <w:autoSpaceDE/>
        <w:autoSpaceDN/>
        <w:bidi w:val="0"/>
        <w:adjustRightInd/>
        <w:snapToGrid/>
        <w:spacing w:line="560" w:lineRule="exact"/>
        <w:ind w:leftChars="0" w:firstLine="640" w:firstLineChars="200"/>
        <w:textAlignment w:val="auto"/>
        <w:rPr>
          <w:rFonts w:hint="eastAsia"/>
          <w:sz w:val="32"/>
          <w:szCs w:val="32"/>
          <w:highlight w:val="none"/>
          <w:lang w:val="en-US" w:eastAsia="zh-CN"/>
        </w:rPr>
      </w:pPr>
      <w:r>
        <w:rPr>
          <w:rFonts w:hint="eastAsia"/>
          <w:sz w:val="32"/>
          <w:szCs w:val="32"/>
          <w:highlight w:val="none"/>
          <w:lang w:val="en-US" w:eastAsia="zh-CN"/>
        </w:rPr>
        <w:t>国际经验表明，当处于工业化、城镇化快速推进阶段时，电力供应超前增长，为经济提供必要的能源保障，因此电力增速往往高于经济发展增速，即电力消费弹性系数大于1；当工业化进程进入中后期，经济发展对电力需求逐渐饱和，伴随着经济结构优化和能源效率提高，电力消费增速放缓，该系数小于1。</w:t>
      </w:r>
    </w:p>
    <w:p w14:paraId="1AFAE9DF">
      <w:pPr>
        <w:keepNext w:val="0"/>
        <w:keepLines w:val="0"/>
        <w:pageBreakBefore w:val="0"/>
        <w:widowControl w:val="0"/>
        <w:numPr>
          <w:ilvl w:val="0"/>
          <w:numId w:val="6"/>
        </w:numPr>
        <w:shd w:val="clear"/>
        <w:kinsoku/>
        <w:wordWrap/>
        <w:overflowPunct/>
        <w:topLinePunct w:val="0"/>
        <w:autoSpaceDE/>
        <w:autoSpaceDN/>
        <w:bidi w:val="0"/>
        <w:adjustRightInd/>
        <w:snapToGrid/>
        <w:spacing w:line="560" w:lineRule="exact"/>
        <w:ind w:left="0" w:leftChars="0" w:firstLine="643" w:firstLineChars="200"/>
        <w:textAlignment w:val="auto"/>
        <w:outlineLvl w:val="1"/>
        <w:rPr>
          <w:rFonts w:hint="eastAsia" w:ascii="楷体" w:hAnsi="楷体" w:eastAsia="楷体" w:cs="楷体"/>
          <w:b/>
          <w:bCs/>
          <w:sz w:val="32"/>
          <w:szCs w:val="32"/>
          <w:highlight w:val="none"/>
          <w:lang w:val="en-US" w:eastAsia="zh-CN"/>
        </w:rPr>
      </w:pPr>
      <w:r>
        <w:rPr>
          <w:rFonts w:hint="eastAsia" w:ascii="楷体" w:hAnsi="楷体" w:eastAsia="楷体" w:cs="楷体"/>
          <w:b/>
          <w:bCs/>
          <w:sz w:val="32"/>
          <w:szCs w:val="32"/>
          <w:highlight w:val="none"/>
          <w:lang w:val="en-US" w:eastAsia="zh-CN"/>
        </w:rPr>
        <w:t>上海地区电力消费弹性系数</w:t>
      </w:r>
    </w:p>
    <w:p w14:paraId="08202FFB">
      <w:pPr>
        <w:keepNext w:val="0"/>
        <w:keepLines w:val="0"/>
        <w:pageBreakBefore w:val="0"/>
        <w:widowControl w:val="0"/>
        <w:numPr>
          <w:ilvl w:val="0"/>
          <w:numId w:val="0"/>
        </w:numPr>
        <w:shd w:val="clear"/>
        <w:kinsoku/>
        <w:wordWrap/>
        <w:overflowPunct/>
        <w:topLinePunct w:val="0"/>
        <w:autoSpaceDE/>
        <w:autoSpaceDN/>
        <w:bidi w:val="0"/>
        <w:adjustRightInd/>
        <w:snapToGrid/>
        <w:spacing w:line="560" w:lineRule="exact"/>
        <w:ind w:leftChars="0" w:firstLine="640" w:firstLineChars="200"/>
        <w:textAlignment w:val="auto"/>
        <w:rPr>
          <w:rFonts w:hint="eastAsia" w:ascii="仿宋_GB2312" w:hAnsi="仿宋_GB2312" w:eastAsia="仿宋_GB2312" w:cstheme="minorBidi"/>
          <w:b w:val="0"/>
          <w:bCs w:val="0"/>
          <w:color w:val="auto"/>
          <w:kern w:val="2"/>
          <w:sz w:val="32"/>
          <w:szCs w:val="32"/>
          <w:highlight w:val="none"/>
          <w:lang w:val="en-US" w:eastAsia="zh-CN" w:bidi="ar-SA"/>
        </w:rPr>
      </w:pPr>
      <w:r>
        <w:rPr>
          <w:rFonts w:hint="eastAsia"/>
          <w:sz w:val="32"/>
          <w:szCs w:val="32"/>
          <w:highlight w:val="none"/>
          <w:lang w:val="en-US" w:eastAsia="zh-CN"/>
        </w:rPr>
        <w:t>基于上海市</w:t>
      </w:r>
      <w:r>
        <w:rPr>
          <w:rFonts w:hint="default"/>
          <w:sz w:val="32"/>
          <w:szCs w:val="32"/>
          <w:highlight w:val="none"/>
          <w:lang w:val="en-US" w:eastAsia="zh-CN"/>
        </w:rPr>
        <w:t>20</w:t>
      </w:r>
      <w:r>
        <w:rPr>
          <w:rFonts w:hint="eastAsia"/>
          <w:sz w:val="32"/>
          <w:szCs w:val="32"/>
          <w:highlight w:val="none"/>
          <w:lang w:val="en-US" w:eastAsia="zh-CN"/>
        </w:rPr>
        <w:t>15—</w:t>
      </w:r>
      <w:r>
        <w:rPr>
          <w:rFonts w:hint="default"/>
          <w:sz w:val="32"/>
          <w:szCs w:val="32"/>
          <w:highlight w:val="none"/>
          <w:lang w:val="en-US" w:eastAsia="zh-CN"/>
        </w:rPr>
        <w:t>20</w:t>
      </w:r>
      <w:r>
        <w:rPr>
          <w:rFonts w:hint="eastAsia"/>
          <w:sz w:val="32"/>
          <w:szCs w:val="32"/>
          <w:highlight w:val="none"/>
          <w:lang w:val="en-US" w:eastAsia="zh-CN"/>
        </w:rPr>
        <w:t>24</w:t>
      </w:r>
      <w:r>
        <w:rPr>
          <w:rFonts w:hint="default"/>
          <w:sz w:val="32"/>
          <w:szCs w:val="32"/>
          <w:highlight w:val="none"/>
          <w:lang w:val="en-US" w:eastAsia="zh-CN"/>
        </w:rPr>
        <w:t>年</w:t>
      </w:r>
      <w:r>
        <w:rPr>
          <w:rFonts w:hint="eastAsia"/>
          <w:sz w:val="32"/>
          <w:szCs w:val="32"/>
          <w:highlight w:val="none"/>
          <w:lang w:val="en-US" w:eastAsia="zh-CN"/>
        </w:rPr>
        <w:t>售电量和GDP数据</w:t>
      </w:r>
      <w:r>
        <w:rPr>
          <w:rFonts w:hint="default"/>
          <w:sz w:val="32"/>
          <w:szCs w:val="32"/>
          <w:highlight w:val="none"/>
          <w:lang w:val="en-US" w:eastAsia="zh-CN"/>
        </w:rPr>
        <w:t>，</w:t>
      </w:r>
      <w:r>
        <w:rPr>
          <w:rFonts w:hint="eastAsia"/>
          <w:sz w:val="32"/>
          <w:szCs w:val="32"/>
          <w:highlight w:val="none"/>
          <w:lang w:val="en-US" w:eastAsia="zh-CN"/>
        </w:rPr>
        <w:t>分产业、行业统计电力消费弹性系数变动情况。</w:t>
      </w:r>
      <w:r>
        <w:rPr>
          <w:rFonts w:hint="eastAsia" w:ascii="仿宋_GB2312" w:hAnsi="仿宋_GB2312" w:eastAsia="仿宋_GB2312" w:cstheme="minorBidi"/>
          <w:b w:val="0"/>
          <w:bCs w:val="0"/>
          <w:color w:val="auto"/>
          <w:kern w:val="2"/>
          <w:sz w:val="32"/>
          <w:szCs w:val="32"/>
          <w:highlight w:val="none"/>
          <w:lang w:val="en-US" w:eastAsia="zh-CN" w:bidi="ar-SA"/>
        </w:rPr>
        <w:t>计算GDP增幅时采用实际GDP，即剔除价格因素影响；考虑城乡居民生活用电一般不</w:t>
      </w:r>
      <w:r>
        <w:rPr>
          <w:rFonts w:hint="eastAsia" w:cstheme="minorBidi"/>
          <w:b w:val="0"/>
          <w:bCs w:val="0"/>
          <w:color w:val="auto"/>
          <w:kern w:val="2"/>
          <w:sz w:val="32"/>
          <w:szCs w:val="32"/>
          <w:highlight w:val="none"/>
          <w:lang w:val="en-US" w:eastAsia="zh-CN" w:bidi="ar-SA"/>
        </w:rPr>
        <w:t>直接</w:t>
      </w:r>
      <w:r>
        <w:rPr>
          <w:rFonts w:hint="eastAsia" w:ascii="仿宋_GB2312" w:hAnsi="仿宋_GB2312" w:eastAsia="仿宋_GB2312" w:cstheme="minorBidi"/>
          <w:b w:val="0"/>
          <w:bCs w:val="0"/>
          <w:color w:val="auto"/>
          <w:kern w:val="2"/>
          <w:sz w:val="32"/>
          <w:szCs w:val="32"/>
          <w:highlight w:val="none"/>
          <w:lang w:val="en-US" w:eastAsia="zh-CN" w:bidi="ar-SA"/>
        </w:rPr>
        <w:t>贡献GDP，计算售电量数据时予以剔除。</w:t>
      </w:r>
    </w:p>
    <w:p w14:paraId="41643F05">
      <w:pPr>
        <w:keepNext w:val="0"/>
        <w:keepLines w:val="0"/>
        <w:pageBreakBefore w:val="0"/>
        <w:widowControl w:val="0"/>
        <w:numPr>
          <w:ilvl w:val="0"/>
          <w:numId w:val="0"/>
        </w:numPr>
        <w:shd w:val="clear"/>
        <w:kinsoku/>
        <w:wordWrap/>
        <w:overflowPunct/>
        <w:topLinePunct w:val="0"/>
        <w:autoSpaceDE/>
        <w:autoSpaceDN/>
        <w:bidi w:val="0"/>
        <w:adjustRightInd/>
        <w:snapToGrid/>
        <w:spacing w:line="560" w:lineRule="exact"/>
        <w:ind w:leftChars="0" w:firstLine="643" w:firstLineChars="200"/>
        <w:textAlignment w:val="auto"/>
        <w:outlineLvl w:val="2"/>
        <w:rPr>
          <w:rFonts w:hint="eastAsia"/>
          <w:b/>
          <w:bCs/>
          <w:sz w:val="32"/>
          <w:szCs w:val="32"/>
          <w:highlight w:val="none"/>
          <w:lang w:val="en-US" w:eastAsia="zh-CN"/>
        </w:rPr>
      </w:pPr>
      <w:r>
        <w:rPr>
          <w:rFonts w:hint="eastAsia"/>
          <w:b/>
          <w:bCs/>
          <w:sz w:val="32"/>
          <w:szCs w:val="32"/>
          <w:highlight w:val="none"/>
          <w:lang w:val="en-US" w:eastAsia="zh-CN"/>
        </w:rPr>
        <w:t>1、总体情况</w:t>
      </w:r>
    </w:p>
    <w:p w14:paraId="49CA3D2E">
      <w:pPr>
        <w:keepNext w:val="0"/>
        <w:keepLines w:val="0"/>
        <w:pageBreakBefore w:val="0"/>
        <w:widowControl w:val="0"/>
        <w:numPr>
          <w:ilvl w:val="0"/>
          <w:numId w:val="0"/>
        </w:numPr>
        <w:shd w:val="clear"/>
        <w:kinsoku/>
        <w:wordWrap/>
        <w:overflowPunct/>
        <w:topLinePunct w:val="0"/>
        <w:autoSpaceDE/>
        <w:autoSpaceDN/>
        <w:bidi w:val="0"/>
        <w:adjustRightInd/>
        <w:snapToGrid/>
        <w:spacing w:line="560" w:lineRule="exact"/>
        <w:ind w:leftChars="0" w:firstLine="643" w:firstLineChars="200"/>
        <w:textAlignment w:val="auto"/>
        <w:rPr>
          <w:rFonts w:hint="default"/>
          <w:sz w:val="32"/>
          <w:szCs w:val="32"/>
          <w:highlight w:val="none"/>
          <w:lang w:val="en-US" w:eastAsia="zh-CN"/>
        </w:rPr>
      </w:pPr>
      <w:r>
        <w:rPr>
          <w:rFonts w:hint="eastAsia" w:ascii="楷体" w:hAnsi="楷体" w:eastAsia="楷体" w:cs="楷体"/>
          <w:b/>
          <w:bCs/>
          <w:sz w:val="32"/>
          <w:szCs w:val="32"/>
          <w:highlight w:val="none"/>
          <w:lang w:val="en-US" w:eastAsia="zh-CN"/>
        </w:rPr>
        <w:t>从历年数据来看，2015-2019年，</w:t>
      </w:r>
      <w:r>
        <w:rPr>
          <w:rFonts w:hint="eastAsia" w:ascii="仿宋_GB2312" w:hAnsi="仿宋_GB2312" w:eastAsia="仿宋_GB2312" w:cstheme="minorBidi"/>
          <w:b w:val="0"/>
          <w:bCs w:val="0"/>
          <w:sz w:val="32"/>
          <w:szCs w:val="32"/>
          <w:highlight w:val="none"/>
          <w:lang w:val="en-US" w:eastAsia="zh-CN"/>
        </w:rPr>
        <w:t>上海处于后工业化阶段，持续淘汰高耗能企业，积极推进高效用能，GDP</w:t>
      </w:r>
      <w:r>
        <w:rPr>
          <w:rFonts w:hint="eastAsia" w:cstheme="minorBidi"/>
          <w:b w:val="0"/>
          <w:bCs w:val="0"/>
          <w:sz w:val="32"/>
          <w:szCs w:val="32"/>
          <w:highlight w:val="none"/>
          <w:lang w:val="en-US" w:eastAsia="zh-CN"/>
        </w:rPr>
        <w:t>增速领先</w:t>
      </w:r>
      <w:r>
        <w:rPr>
          <w:rFonts w:hint="eastAsia" w:ascii="仿宋_GB2312" w:hAnsi="仿宋_GB2312" w:eastAsia="仿宋_GB2312" w:cstheme="minorBidi"/>
          <w:b w:val="0"/>
          <w:bCs w:val="0"/>
          <w:sz w:val="32"/>
          <w:szCs w:val="32"/>
          <w:highlight w:val="none"/>
          <w:lang w:val="en-US" w:eastAsia="zh-CN"/>
        </w:rPr>
        <w:t>售电量</w:t>
      </w:r>
      <w:r>
        <w:rPr>
          <w:rFonts w:hint="eastAsia" w:cstheme="minorBidi"/>
          <w:b w:val="0"/>
          <w:bCs w:val="0"/>
          <w:sz w:val="32"/>
          <w:szCs w:val="32"/>
          <w:highlight w:val="none"/>
          <w:lang w:val="en-US" w:eastAsia="zh-CN"/>
        </w:rPr>
        <w:t>增速</w:t>
      </w:r>
      <w:r>
        <w:rPr>
          <w:rFonts w:hint="eastAsia" w:ascii="仿宋_GB2312" w:hAnsi="仿宋_GB2312" w:eastAsia="仿宋_GB2312" w:cstheme="minorBidi"/>
          <w:b w:val="0"/>
          <w:bCs w:val="0"/>
          <w:sz w:val="32"/>
          <w:szCs w:val="32"/>
          <w:highlight w:val="none"/>
          <w:lang w:val="en-US" w:eastAsia="zh-CN"/>
        </w:rPr>
        <w:t>，电力消费弹性系数小于</w:t>
      </w:r>
      <w:r>
        <w:rPr>
          <w:rFonts w:hint="eastAsia" w:cstheme="minorBidi"/>
          <w:b w:val="0"/>
          <w:bCs w:val="0"/>
          <w:sz w:val="32"/>
          <w:szCs w:val="32"/>
          <w:highlight w:val="none"/>
          <w:lang w:val="en-US" w:eastAsia="zh-CN"/>
        </w:rPr>
        <w:t>1</w:t>
      </w:r>
      <w:r>
        <w:rPr>
          <w:rFonts w:hint="eastAsia" w:ascii="仿宋_GB2312" w:hAnsi="仿宋_GB2312" w:eastAsia="仿宋_GB2312" w:cstheme="minorBidi"/>
          <w:b w:val="0"/>
          <w:bCs w:val="0"/>
          <w:sz w:val="32"/>
          <w:szCs w:val="32"/>
          <w:highlight w:val="none"/>
          <w:lang w:val="en-US" w:eastAsia="zh-CN"/>
        </w:rPr>
        <w:t>。</w:t>
      </w:r>
      <w:r>
        <w:rPr>
          <w:rFonts w:hint="eastAsia" w:ascii="楷体" w:hAnsi="楷体" w:eastAsia="楷体" w:cs="楷体"/>
          <w:b/>
          <w:bCs/>
          <w:sz w:val="32"/>
          <w:szCs w:val="32"/>
          <w:highlight w:val="none"/>
          <w:lang w:val="en-US" w:eastAsia="zh-CN"/>
        </w:rPr>
        <w:t>2020—2022年，</w:t>
      </w:r>
      <w:r>
        <w:rPr>
          <w:rFonts w:hint="eastAsia" w:ascii="仿宋_GB2312" w:hAnsi="仿宋_GB2312" w:eastAsia="仿宋_GB2312" w:cstheme="minorBidi"/>
          <w:b w:val="0"/>
          <w:bCs w:val="0"/>
          <w:sz w:val="32"/>
          <w:szCs w:val="32"/>
          <w:highlight w:val="none"/>
          <w:lang w:val="en-US" w:eastAsia="zh-CN"/>
        </w:rPr>
        <w:t>受疫情因素影响，电力消费弹性系数异常波动。</w:t>
      </w:r>
      <w:r>
        <w:rPr>
          <w:rFonts w:hint="eastAsia"/>
          <w:sz w:val="32"/>
          <w:szCs w:val="32"/>
          <w:highlight w:val="none"/>
          <w:lang w:val="en-US" w:eastAsia="zh-CN"/>
        </w:rPr>
        <w:t>其中</w:t>
      </w:r>
      <w:r>
        <w:rPr>
          <w:rFonts w:hint="eastAsia"/>
          <w:b w:val="0"/>
          <w:bCs w:val="0"/>
          <w:sz w:val="32"/>
          <w:szCs w:val="32"/>
          <w:highlight w:val="none"/>
          <w:lang w:val="en-US" w:eastAsia="zh-CN"/>
        </w:rPr>
        <w:t>：</w:t>
      </w:r>
      <w:r>
        <w:rPr>
          <w:rFonts w:hint="eastAsia" w:ascii="仿宋_GB2312" w:hAnsi="仿宋_GB2312" w:eastAsia="仿宋_GB2312" w:cstheme="minorBidi"/>
          <w:b w:val="0"/>
          <w:bCs w:val="0"/>
          <w:sz w:val="32"/>
          <w:szCs w:val="32"/>
          <w:highlight w:val="none"/>
          <w:lang w:val="en-US" w:eastAsia="zh-CN"/>
        </w:rPr>
        <w:t>2020年新冠疫情首年，</w:t>
      </w:r>
      <w:r>
        <w:rPr>
          <w:rFonts w:hint="eastAsia"/>
          <w:sz w:val="32"/>
          <w:szCs w:val="32"/>
          <w:highlight w:val="none"/>
          <w:lang w:val="en-US" w:eastAsia="zh-CN"/>
        </w:rPr>
        <w:t>售电量同比下降3.3%，GDP增长率萎缩至1.7%，弹性系数为负值；</w:t>
      </w:r>
      <w:r>
        <w:rPr>
          <w:rFonts w:hint="eastAsia" w:ascii="仿宋_GB2312" w:hAnsi="仿宋_GB2312" w:eastAsia="仿宋_GB2312" w:cstheme="minorBidi"/>
          <w:b w:val="0"/>
          <w:bCs w:val="0"/>
          <w:sz w:val="32"/>
          <w:szCs w:val="32"/>
          <w:highlight w:val="none"/>
          <w:lang w:val="en-US" w:eastAsia="zh-CN"/>
        </w:rPr>
        <w:t>2022年上海疫情爆发，</w:t>
      </w:r>
      <w:r>
        <w:rPr>
          <w:rFonts w:hint="eastAsia"/>
          <w:sz w:val="32"/>
          <w:szCs w:val="32"/>
          <w:highlight w:val="none"/>
          <w:lang w:val="en-US" w:eastAsia="zh-CN"/>
        </w:rPr>
        <w:t>售电量同比下降1.12%，GDP同比下降0.2%,电力消费弹性系数陡增，反映了疫情封锁影响供给端生产，售电量表现出一定先导性，相较于同期GDP变化幅度更大。</w:t>
      </w:r>
      <w:r>
        <w:rPr>
          <w:rFonts w:hint="eastAsia" w:ascii="楷体" w:hAnsi="楷体" w:eastAsia="楷体" w:cs="楷体"/>
          <w:b/>
          <w:bCs/>
          <w:sz w:val="32"/>
          <w:szCs w:val="32"/>
          <w:highlight w:val="none"/>
          <w:lang w:val="en-US" w:eastAsia="zh-CN"/>
        </w:rPr>
        <w:t>2023年以来，</w:t>
      </w:r>
      <w:r>
        <w:rPr>
          <w:rFonts w:hint="eastAsia"/>
          <w:sz w:val="32"/>
          <w:szCs w:val="32"/>
          <w:highlight w:val="none"/>
          <w:lang w:val="en-US" w:eastAsia="zh-CN"/>
        </w:rPr>
        <w:t>随着经济复苏进程推进，电力消费弹性系数逐渐回归正轨，2024年上半年数值恢复至1.15。</w:t>
      </w:r>
    </w:p>
    <w:p w14:paraId="68876E97">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Chars="0" w:firstLine="0" w:firstLineChars="0"/>
        <w:jc w:val="center"/>
        <w:textAlignment w:val="auto"/>
        <w:rPr>
          <w:rFonts w:hint="eastAsia" w:ascii="楷体" w:hAnsi="楷体" w:eastAsia="楷体" w:cs="楷体"/>
          <w:b/>
          <w:bCs/>
          <w:sz w:val="32"/>
          <w:szCs w:val="32"/>
          <w:highlight w:val="none"/>
          <w:lang w:val="en-US" w:eastAsia="zh-CN"/>
        </w:rPr>
      </w:pPr>
      <w:r>
        <w:rPr>
          <w:rFonts w:hint="eastAsia" w:ascii="楷体" w:hAnsi="楷体" w:eastAsia="楷体" w:cs="楷体"/>
          <w:b/>
          <w:bCs/>
          <w:sz w:val="32"/>
          <w:szCs w:val="32"/>
          <w:highlight w:val="none"/>
          <w:lang w:val="en-US" w:eastAsia="zh-CN"/>
        </w:rPr>
        <w:drawing>
          <wp:inline distT="0" distB="0" distL="114300" distR="114300">
            <wp:extent cx="5039995" cy="2336800"/>
            <wp:effectExtent l="4445" t="4445" r="10160" b="825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0B84CB">
      <w:pPr>
        <w:pStyle w:val="7"/>
        <w:numPr>
          <w:ilvl w:val="0"/>
          <w:numId w:val="0"/>
        </w:numPr>
        <w:shd w:val="clear"/>
        <w:bidi w:val="0"/>
        <w:spacing w:line="240" w:lineRule="auto"/>
        <w:ind w:firstLine="0" w:firstLineChars="0"/>
        <w:jc w:val="center"/>
        <w:rPr>
          <w:rFonts w:hint="eastAsia" w:ascii="仿宋_GB2312" w:hAnsi="仿宋_GB2312" w:eastAsia="仿宋_GB2312" w:cstheme="minorBidi"/>
          <w:b/>
          <w:bCs/>
          <w:kern w:val="2"/>
          <w:sz w:val="21"/>
          <w:szCs w:val="21"/>
          <w:highlight w:val="none"/>
          <w:lang w:val="en-US" w:eastAsia="zh-CN" w:bidi="ar-SA"/>
        </w:rPr>
      </w:pPr>
      <w:r>
        <w:rPr>
          <w:rFonts w:hint="eastAsia" w:ascii="仿宋_GB2312" w:hAnsi="仿宋_GB2312" w:eastAsia="仿宋_GB2312" w:cstheme="minorBidi"/>
          <w:b/>
          <w:bCs/>
          <w:kern w:val="2"/>
          <w:sz w:val="21"/>
          <w:szCs w:val="21"/>
          <w:highlight w:val="none"/>
          <w:lang w:val="en-US" w:eastAsia="zh-CN" w:bidi="ar-SA"/>
        </w:rPr>
        <w:t>图</w:t>
      </w:r>
      <w:r>
        <w:rPr>
          <w:rFonts w:hint="eastAsia" w:ascii="仿宋_GB2312" w:hAnsi="仿宋_GB2312" w:eastAsia="仿宋_GB2312" w:cstheme="minorBidi"/>
          <w:b/>
          <w:bCs/>
          <w:kern w:val="2"/>
          <w:sz w:val="21"/>
          <w:szCs w:val="21"/>
          <w:highlight w:val="none"/>
          <w:lang w:val="en-US" w:eastAsia="zh-CN" w:bidi="ar-SA"/>
        </w:rPr>
        <w:fldChar w:fldCharType="begin"/>
      </w:r>
      <w:r>
        <w:rPr>
          <w:rFonts w:hint="eastAsia" w:ascii="仿宋_GB2312" w:hAnsi="仿宋_GB2312" w:eastAsia="仿宋_GB2312" w:cstheme="minorBidi"/>
          <w:b/>
          <w:bCs/>
          <w:kern w:val="2"/>
          <w:sz w:val="21"/>
          <w:szCs w:val="21"/>
          <w:highlight w:val="none"/>
          <w:lang w:val="en-US" w:eastAsia="zh-CN" w:bidi="ar-SA"/>
        </w:rPr>
        <w:instrText xml:space="preserve"> SEQ 图 \* ARABIC </w:instrText>
      </w:r>
      <w:r>
        <w:rPr>
          <w:rFonts w:hint="eastAsia" w:ascii="仿宋_GB2312" w:hAnsi="仿宋_GB2312" w:eastAsia="仿宋_GB2312" w:cstheme="minorBidi"/>
          <w:b/>
          <w:bCs/>
          <w:kern w:val="2"/>
          <w:sz w:val="21"/>
          <w:szCs w:val="21"/>
          <w:highlight w:val="none"/>
          <w:lang w:val="en-US" w:eastAsia="zh-CN" w:bidi="ar-SA"/>
        </w:rPr>
        <w:fldChar w:fldCharType="separate"/>
      </w:r>
      <w:r>
        <w:rPr>
          <w:rFonts w:hint="eastAsia" w:ascii="仿宋_GB2312" w:hAnsi="仿宋_GB2312" w:eastAsia="仿宋_GB2312" w:cstheme="minorBidi"/>
          <w:b/>
          <w:bCs/>
          <w:kern w:val="2"/>
          <w:sz w:val="21"/>
          <w:szCs w:val="21"/>
          <w:highlight w:val="none"/>
          <w:lang w:val="en-US" w:eastAsia="zh-CN" w:bidi="ar-SA"/>
        </w:rPr>
        <w:t>1</w:t>
      </w:r>
      <w:r>
        <w:rPr>
          <w:rFonts w:hint="eastAsia" w:ascii="仿宋_GB2312" w:hAnsi="仿宋_GB2312" w:eastAsia="仿宋_GB2312" w:cstheme="minorBidi"/>
          <w:b/>
          <w:bCs/>
          <w:kern w:val="2"/>
          <w:sz w:val="21"/>
          <w:szCs w:val="21"/>
          <w:highlight w:val="none"/>
          <w:lang w:val="en-US" w:eastAsia="zh-CN" w:bidi="ar-SA"/>
        </w:rPr>
        <w:fldChar w:fldCharType="end"/>
      </w:r>
      <w:r>
        <w:rPr>
          <w:rFonts w:hint="eastAsia" w:ascii="仿宋_GB2312" w:hAnsi="仿宋_GB2312" w:eastAsia="仿宋_GB2312" w:cstheme="minorBidi"/>
          <w:b/>
          <w:bCs/>
          <w:kern w:val="2"/>
          <w:sz w:val="21"/>
          <w:szCs w:val="21"/>
          <w:highlight w:val="none"/>
          <w:lang w:val="en-US" w:eastAsia="zh-CN" w:bidi="ar-SA"/>
        </w:rPr>
        <w:t xml:space="preserve">  GDP增长率、售电量增长率（剔除居民）及电力消费弹性系数</w:t>
      </w:r>
    </w:p>
    <w:p w14:paraId="6E9A5430">
      <w:pPr>
        <w:shd w:val="clear"/>
        <w:tabs>
          <w:tab w:val="left" w:pos="818"/>
        </w:tabs>
        <w:bidi w:val="0"/>
        <w:ind w:firstLine="643" w:firstLineChars="200"/>
        <w:rPr>
          <w:rFonts w:hint="default"/>
          <w:highlight w:val="none"/>
          <w:lang w:val="en-US" w:eastAsia="zh-CN"/>
        </w:rPr>
      </w:pPr>
      <w:r>
        <w:rPr>
          <w:rFonts w:hint="eastAsia" w:ascii="楷体" w:hAnsi="楷体" w:eastAsia="楷体" w:cs="楷体"/>
          <w:b/>
          <w:bCs/>
          <w:szCs w:val="32"/>
          <w:highlight w:val="none"/>
          <w:lang w:val="en-US" w:eastAsia="zh-CN"/>
        </w:rPr>
        <w:t>从季度数据看，</w:t>
      </w:r>
      <w:r>
        <w:rPr>
          <w:rFonts w:hint="eastAsia"/>
          <w:highlight w:val="none"/>
          <w:lang w:val="en-US" w:eastAsia="zh-CN"/>
        </w:rPr>
        <w:t>每年售电量峰值出现在第3季度，GDP峰值出现在第4季度。前者主要由于第3季度受夏季高温影响，空调负荷较高；后者则由于第4季度GDP往往包含了对全年数据的最终总结和调整，且部分产业数据以年为周期统计，导致数值高于其他季度。</w:t>
      </w:r>
    </w:p>
    <w:p w14:paraId="1ED0E02F">
      <w:pPr>
        <w:pStyle w:val="7"/>
        <w:numPr>
          <w:ilvl w:val="0"/>
          <w:numId w:val="0"/>
        </w:numPr>
        <w:shd w:val="clear"/>
        <w:bidi w:val="0"/>
        <w:spacing w:line="240" w:lineRule="auto"/>
        <w:ind w:firstLine="0" w:firstLineChars="0"/>
        <w:jc w:val="center"/>
        <w:rPr>
          <w:rFonts w:hint="eastAsia" w:ascii="楷体" w:hAnsi="楷体" w:eastAsia="楷体" w:cs="楷体"/>
          <w:b/>
          <w:bCs/>
          <w:sz w:val="32"/>
          <w:szCs w:val="32"/>
          <w:highlight w:val="none"/>
          <w:lang w:val="en-US" w:eastAsia="zh-CN"/>
        </w:rPr>
      </w:pPr>
      <w:r>
        <w:rPr>
          <w:rFonts w:hint="eastAsia" w:ascii="楷体" w:hAnsi="楷体" w:eastAsia="楷体" w:cs="楷体"/>
          <w:b/>
          <w:bCs/>
          <w:sz w:val="32"/>
          <w:szCs w:val="32"/>
          <w:highlight w:val="none"/>
          <w:lang w:val="en-US" w:eastAsia="zh-CN"/>
        </w:rPr>
        <w:drawing>
          <wp:inline distT="0" distB="0" distL="114300" distR="114300">
            <wp:extent cx="5256530" cy="2666365"/>
            <wp:effectExtent l="4445" t="4445" r="9525" b="889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F6926A">
      <w:pPr>
        <w:pStyle w:val="7"/>
        <w:numPr>
          <w:ilvl w:val="0"/>
          <w:numId w:val="0"/>
        </w:numPr>
        <w:shd w:val="clear"/>
        <w:bidi w:val="0"/>
        <w:spacing w:line="240" w:lineRule="auto"/>
        <w:ind w:firstLine="0" w:firstLineChars="0"/>
        <w:jc w:val="center"/>
        <w:rPr>
          <w:rFonts w:hint="eastAsia" w:ascii="仿宋_GB2312" w:hAnsi="仿宋_GB2312" w:eastAsia="仿宋_GB2312" w:cstheme="minorBidi"/>
          <w:b/>
          <w:bCs/>
          <w:kern w:val="2"/>
          <w:sz w:val="21"/>
          <w:szCs w:val="21"/>
          <w:highlight w:val="none"/>
          <w:lang w:val="en-US" w:eastAsia="zh-CN" w:bidi="ar-SA"/>
        </w:rPr>
      </w:pPr>
      <w:r>
        <w:rPr>
          <w:rFonts w:hint="eastAsia" w:ascii="仿宋_GB2312" w:hAnsi="仿宋_GB2312" w:eastAsia="仿宋_GB2312" w:cstheme="minorBidi"/>
          <w:b/>
          <w:bCs/>
          <w:kern w:val="2"/>
          <w:sz w:val="21"/>
          <w:szCs w:val="21"/>
          <w:highlight w:val="none"/>
          <w:lang w:val="en-US" w:eastAsia="zh-CN" w:bidi="ar-SA"/>
        </w:rPr>
        <w:t>图</w:t>
      </w:r>
      <w:r>
        <w:rPr>
          <w:rFonts w:hint="eastAsia" w:ascii="仿宋_GB2312" w:hAnsi="仿宋_GB2312" w:eastAsia="仿宋_GB2312" w:cstheme="minorBidi"/>
          <w:b/>
          <w:bCs/>
          <w:kern w:val="2"/>
          <w:sz w:val="21"/>
          <w:szCs w:val="21"/>
          <w:highlight w:val="none"/>
          <w:lang w:val="en-US" w:eastAsia="zh-CN" w:bidi="ar-SA"/>
        </w:rPr>
        <w:fldChar w:fldCharType="begin"/>
      </w:r>
      <w:r>
        <w:rPr>
          <w:rFonts w:hint="eastAsia" w:ascii="仿宋_GB2312" w:hAnsi="仿宋_GB2312" w:eastAsia="仿宋_GB2312" w:cstheme="minorBidi"/>
          <w:b/>
          <w:bCs/>
          <w:kern w:val="2"/>
          <w:sz w:val="21"/>
          <w:szCs w:val="21"/>
          <w:highlight w:val="none"/>
          <w:lang w:val="en-US" w:eastAsia="zh-CN" w:bidi="ar-SA"/>
        </w:rPr>
        <w:instrText xml:space="preserve"> SEQ 图 \* ARABIC </w:instrText>
      </w:r>
      <w:r>
        <w:rPr>
          <w:rFonts w:hint="eastAsia" w:ascii="仿宋_GB2312" w:hAnsi="仿宋_GB2312" w:eastAsia="仿宋_GB2312" w:cstheme="minorBidi"/>
          <w:b/>
          <w:bCs/>
          <w:kern w:val="2"/>
          <w:sz w:val="21"/>
          <w:szCs w:val="21"/>
          <w:highlight w:val="none"/>
          <w:lang w:val="en-US" w:eastAsia="zh-CN" w:bidi="ar-SA"/>
        </w:rPr>
        <w:fldChar w:fldCharType="separate"/>
      </w:r>
      <w:r>
        <w:rPr>
          <w:rFonts w:hint="eastAsia" w:ascii="仿宋_GB2312" w:hAnsi="仿宋_GB2312" w:eastAsia="仿宋_GB2312" w:cstheme="minorBidi"/>
          <w:b/>
          <w:bCs/>
          <w:kern w:val="2"/>
          <w:sz w:val="21"/>
          <w:szCs w:val="21"/>
          <w:highlight w:val="none"/>
          <w:lang w:val="en-US" w:eastAsia="zh-CN" w:bidi="ar-SA"/>
        </w:rPr>
        <w:t>2</w:t>
      </w:r>
      <w:r>
        <w:rPr>
          <w:rFonts w:hint="eastAsia" w:ascii="仿宋_GB2312" w:hAnsi="仿宋_GB2312" w:eastAsia="仿宋_GB2312" w:cstheme="minorBidi"/>
          <w:b/>
          <w:bCs/>
          <w:kern w:val="2"/>
          <w:sz w:val="21"/>
          <w:szCs w:val="21"/>
          <w:highlight w:val="none"/>
          <w:lang w:val="en-US" w:eastAsia="zh-CN" w:bidi="ar-SA"/>
        </w:rPr>
        <w:fldChar w:fldCharType="end"/>
      </w:r>
      <w:r>
        <w:rPr>
          <w:rFonts w:hint="eastAsia" w:ascii="仿宋_GB2312" w:hAnsi="仿宋_GB2312" w:eastAsia="仿宋_GB2312" w:cstheme="minorBidi"/>
          <w:b/>
          <w:bCs/>
          <w:kern w:val="2"/>
          <w:sz w:val="21"/>
          <w:szCs w:val="21"/>
          <w:highlight w:val="none"/>
          <w:lang w:val="en-US" w:eastAsia="zh-CN" w:bidi="ar-SA"/>
        </w:rPr>
        <w:t xml:space="preserve">  售电量、GDP时间序列图</w:t>
      </w:r>
    </w:p>
    <w:p w14:paraId="0054069D">
      <w:pPr>
        <w:shd w:val="clear"/>
        <w:tabs>
          <w:tab w:val="left" w:pos="818"/>
        </w:tabs>
        <w:bidi w:val="0"/>
        <w:ind w:firstLine="640" w:firstLineChars="200"/>
        <w:rPr>
          <w:rFonts w:hint="default"/>
          <w:highlight w:val="none"/>
          <w:lang w:val="en-US" w:eastAsia="zh-CN"/>
        </w:rPr>
      </w:pPr>
      <w:r>
        <w:rPr>
          <w:rFonts w:hint="eastAsia"/>
          <w:highlight w:val="none"/>
          <w:lang w:val="en-US" w:eastAsia="zh-CN"/>
        </w:rPr>
        <w:t>此外，从季度电力消费弹性系数看，各季度售电量增幅和GDP增幅走势大致相同，但是各季度的电力消费弹性系数之间暂未发现显著变化规律。</w:t>
      </w:r>
    </w:p>
    <w:p w14:paraId="13CDD6FD">
      <w:pPr>
        <w:shd w:val="clear"/>
        <w:tabs>
          <w:tab w:val="left" w:pos="818"/>
        </w:tabs>
        <w:bidi w:val="0"/>
        <w:adjustRightInd w:val="0"/>
        <w:spacing w:line="240" w:lineRule="auto"/>
        <w:ind w:firstLine="0" w:firstLineChars="0"/>
        <w:rPr>
          <w:rFonts w:hint="eastAsia" w:ascii="楷体" w:hAnsi="楷体" w:eastAsia="楷体" w:cs="楷体"/>
          <w:b/>
          <w:bCs/>
          <w:sz w:val="32"/>
          <w:szCs w:val="32"/>
          <w:highlight w:val="none"/>
          <w:lang w:val="en-US" w:eastAsia="zh-CN"/>
        </w:rPr>
      </w:pPr>
      <w:r>
        <w:rPr>
          <w:rFonts w:hint="eastAsia" w:ascii="楷体" w:hAnsi="楷体" w:eastAsia="楷体" w:cs="楷体"/>
          <w:b/>
          <w:bCs/>
          <w:sz w:val="32"/>
          <w:szCs w:val="32"/>
          <w:highlight w:val="none"/>
          <w:lang w:val="en-US" w:eastAsia="zh-CN"/>
        </w:rPr>
        <w:drawing>
          <wp:inline distT="0" distB="0" distL="114300" distR="114300">
            <wp:extent cx="5256530" cy="2666365"/>
            <wp:effectExtent l="4445" t="4445" r="9525" b="889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116F20">
      <w:pPr>
        <w:pStyle w:val="7"/>
        <w:numPr>
          <w:ilvl w:val="0"/>
          <w:numId w:val="0"/>
        </w:numPr>
        <w:shd w:val="clear"/>
        <w:bidi w:val="0"/>
        <w:spacing w:line="240" w:lineRule="auto"/>
        <w:ind w:firstLine="0" w:firstLineChars="0"/>
        <w:jc w:val="center"/>
        <w:rPr>
          <w:rFonts w:hint="default" w:ascii="仿宋_GB2312" w:hAnsi="仿宋_GB2312" w:eastAsia="仿宋_GB2312" w:cstheme="minorBidi"/>
          <w:b/>
          <w:bCs/>
          <w:kern w:val="2"/>
          <w:sz w:val="21"/>
          <w:szCs w:val="21"/>
          <w:highlight w:val="none"/>
          <w:lang w:val="en-US" w:eastAsia="zh-CN" w:bidi="ar-SA"/>
        </w:rPr>
      </w:pPr>
      <w:r>
        <w:rPr>
          <w:rFonts w:hint="eastAsia" w:ascii="仿宋_GB2312" w:hAnsi="仿宋_GB2312" w:eastAsia="仿宋_GB2312" w:cstheme="minorBidi"/>
          <w:b/>
          <w:bCs/>
          <w:kern w:val="2"/>
          <w:sz w:val="21"/>
          <w:szCs w:val="21"/>
          <w:highlight w:val="none"/>
          <w:lang w:val="en-US" w:eastAsia="zh-CN" w:bidi="ar-SA"/>
        </w:rPr>
        <w:t>图</w:t>
      </w:r>
      <w:r>
        <w:rPr>
          <w:rFonts w:hint="eastAsia" w:ascii="仿宋_GB2312" w:hAnsi="仿宋_GB2312" w:eastAsia="仿宋_GB2312" w:cstheme="minorBidi"/>
          <w:b/>
          <w:bCs/>
          <w:kern w:val="2"/>
          <w:sz w:val="21"/>
          <w:szCs w:val="21"/>
          <w:highlight w:val="none"/>
          <w:lang w:val="en-US" w:eastAsia="zh-CN" w:bidi="ar-SA"/>
        </w:rPr>
        <w:fldChar w:fldCharType="begin"/>
      </w:r>
      <w:r>
        <w:rPr>
          <w:rFonts w:hint="eastAsia" w:ascii="仿宋_GB2312" w:hAnsi="仿宋_GB2312" w:eastAsia="仿宋_GB2312" w:cstheme="minorBidi"/>
          <w:b/>
          <w:bCs/>
          <w:kern w:val="2"/>
          <w:sz w:val="21"/>
          <w:szCs w:val="21"/>
          <w:highlight w:val="none"/>
          <w:lang w:val="en-US" w:eastAsia="zh-CN" w:bidi="ar-SA"/>
        </w:rPr>
        <w:instrText xml:space="preserve"> SEQ 图 \* ARABIC </w:instrText>
      </w:r>
      <w:r>
        <w:rPr>
          <w:rFonts w:hint="eastAsia" w:ascii="仿宋_GB2312" w:hAnsi="仿宋_GB2312" w:eastAsia="仿宋_GB2312" w:cstheme="minorBidi"/>
          <w:b/>
          <w:bCs/>
          <w:kern w:val="2"/>
          <w:sz w:val="21"/>
          <w:szCs w:val="21"/>
          <w:highlight w:val="none"/>
          <w:lang w:val="en-US" w:eastAsia="zh-CN" w:bidi="ar-SA"/>
        </w:rPr>
        <w:fldChar w:fldCharType="separate"/>
      </w:r>
      <w:r>
        <w:rPr>
          <w:rFonts w:hint="eastAsia" w:ascii="仿宋_GB2312" w:hAnsi="仿宋_GB2312" w:eastAsia="仿宋_GB2312" w:cstheme="minorBidi"/>
          <w:b/>
          <w:bCs/>
          <w:kern w:val="2"/>
          <w:sz w:val="21"/>
          <w:szCs w:val="21"/>
          <w:highlight w:val="none"/>
          <w:lang w:val="en-US" w:eastAsia="zh-CN" w:bidi="ar-SA"/>
        </w:rPr>
        <w:t>3</w:t>
      </w:r>
      <w:r>
        <w:rPr>
          <w:rFonts w:hint="eastAsia" w:ascii="仿宋_GB2312" w:hAnsi="仿宋_GB2312" w:eastAsia="仿宋_GB2312" w:cstheme="minorBidi"/>
          <w:b/>
          <w:bCs/>
          <w:kern w:val="2"/>
          <w:sz w:val="21"/>
          <w:szCs w:val="21"/>
          <w:highlight w:val="none"/>
          <w:lang w:val="en-US" w:eastAsia="zh-CN" w:bidi="ar-SA"/>
        </w:rPr>
        <w:fldChar w:fldCharType="end"/>
      </w:r>
      <w:r>
        <w:rPr>
          <w:rFonts w:hint="eastAsia" w:ascii="仿宋_GB2312" w:hAnsi="仿宋_GB2312" w:eastAsia="仿宋_GB2312" w:cstheme="minorBidi"/>
          <w:b/>
          <w:bCs/>
          <w:kern w:val="2"/>
          <w:sz w:val="21"/>
          <w:szCs w:val="21"/>
          <w:highlight w:val="none"/>
          <w:lang w:val="en-US" w:eastAsia="zh-CN" w:bidi="ar-SA"/>
        </w:rPr>
        <w:t xml:space="preserve">  季度电力消费弹性系数</w:t>
      </w:r>
    </w:p>
    <w:p w14:paraId="581890C6">
      <w:pPr>
        <w:keepNext w:val="0"/>
        <w:keepLines w:val="0"/>
        <w:pageBreakBefore w:val="0"/>
        <w:widowControl w:val="0"/>
        <w:numPr>
          <w:ilvl w:val="0"/>
          <w:numId w:val="0"/>
        </w:numPr>
        <w:shd w:val="clear"/>
        <w:kinsoku/>
        <w:wordWrap/>
        <w:overflowPunct/>
        <w:topLinePunct w:val="0"/>
        <w:autoSpaceDE/>
        <w:autoSpaceDN/>
        <w:bidi w:val="0"/>
        <w:adjustRightInd/>
        <w:snapToGrid/>
        <w:spacing w:line="560" w:lineRule="exact"/>
        <w:ind w:leftChars="0" w:firstLine="643" w:firstLineChars="200"/>
        <w:textAlignment w:val="auto"/>
        <w:outlineLvl w:val="2"/>
        <w:rPr>
          <w:rFonts w:hint="eastAsia"/>
          <w:b/>
          <w:bCs/>
          <w:sz w:val="32"/>
          <w:szCs w:val="32"/>
          <w:highlight w:val="none"/>
          <w:lang w:val="en-US" w:eastAsia="zh-CN"/>
        </w:rPr>
      </w:pPr>
      <w:r>
        <w:rPr>
          <w:rFonts w:hint="eastAsia"/>
          <w:b/>
          <w:bCs/>
          <w:sz w:val="32"/>
          <w:szCs w:val="32"/>
          <w:highlight w:val="none"/>
          <w:lang w:val="en-US" w:eastAsia="zh-CN"/>
        </w:rPr>
        <w:t>2、分产业</w:t>
      </w:r>
    </w:p>
    <w:p w14:paraId="75D10054">
      <w:pPr>
        <w:pStyle w:val="10"/>
        <w:pageBreakBefore w:val="0"/>
        <w:shd w:val="clear"/>
        <w:kinsoku/>
        <w:wordWrap/>
        <w:overflowPunct/>
        <w:topLinePunct w:val="0"/>
        <w:autoSpaceDE/>
        <w:autoSpaceDN/>
        <w:bidi w:val="0"/>
        <w:adjustRightInd/>
        <w:snapToGrid/>
        <w:spacing w:line="560" w:lineRule="exact"/>
        <w:rPr>
          <w:rFonts w:hint="default" w:ascii="仿宋_GB2312" w:eastAsia="仿宋_GB2312" w:cstheme="minorBidi"/>
          <w:b/>
          <w:bCs/>
          <w:kern w:val="2"/>
          <w:sz w:val="32"/>
          <w:szCs w:val="32"/>
          <w:highlight w:val="none"/>
          <w:lang w:val="en-US" w:eastAsia="zh-CN" w:bidi="ar-SA"/>
        </w:rPr>
      </w:pPr>
      <w:r>
        <w:rPr>
          <w:rFonts w:hint="eastAsia" w:ascii="仿宋_GB2312" w:eastAsia="仿宋_GB2312" w:cstheme="minorBidi"/>
          <w:b/>
          <w:bCs/>
          <w:kern w:val="2"/>
          <w:sz w:val="32"/>
          <w:szCs w:val="32"/>
          <w:highlight w:val="none"/>
          <w:lang w:val="en-US" w:eastAsia="zh-CN" w:bidi="ar-SA"/>
        </w:rPr>
        <w:t>（1）占比分析</w:t>
      </w:r>
    </w:p>
    <w:p w14:paraId="5DDCF529">
      <w:pPr>
        <w:pStyle w:val="10"/>
        <w:pageBreakBefore w:val="0"/>
        <w:shd w:val="clear"/>
        <w:kinsoku/>
        <w:wordWrap/>
        <w:overflowPunct/>
        <w:topLinePunct w:val="0"/>
        <w:autoSpaceDE/>
        <w:autoSpaceDN/>
        <w:bidi w:val="0"/>
        <w:adjustRightInd/>
        <w:snapToGrid/>
        <w:spacing w:line="560" w:lineRule="exact"/>
        <w:rPr>
          <w:rFonts w:hint="default"/>
          <w:highlight w:val="none"/>
          <w:lang w:val="en-US" w:eastAsia="zh-CN"/>
        </w:rPr>
      </w:pPr>
      <w:r>
        <w:rPr>
          <w:rFonts w:hint="eastAsia" w:ascii="楷体" w:hAnsi="楷体" w:eastAsia="楷体" w:cs="楷体"/>
          <w:b/>
          <w:bCs/>
          <w:kern w:val="2"/>
          <w:sz w:val="32"/>
          <w:szCs w:val="32"/>
          <w:highlight w:val="none"/>
          <w:lang w:val="en-US" w:eastAsia="zh-CN" w:bidi="ar-SA"/>
        </w:rPr>
        <w:t>从GDP占比看，</w:t>
      </w:r>
      <w:r>
        <w:rPr>
          <w:rFonts w:hint="eastAsia" w:ascii="仿宋_GB2312" w:eastAsia="仿宋_GB2312" w:cstheme="minorBidi"/>
          <w:b w:val="0"/>
          <w:bCs w:val="0"/>
          <w:kern w:val="2"/>
          <w:sz w:val="32"/>
          <w:szCs w:val="32"/>
          <w:highlight w:val="none"/>
          <w:lang w:val="en-US" w:eastAsia="zh-CN" w:bidi="ar-SA"/>
        </w:rPr>
        <w:t>三产对GDP贡献显著高于二产，且呈持续增长态势。</w:t>
      </w:r>
      <w:r>
        <w:rPr>
          <w:rFonts w:hint="default" w:ascii="楷体" w:hAnsi="楷体" w:eastAsia="楷体" w:cs="楷体"/>
          <w:b/>
          <w:bCs/>
          <w:kern w:val="2"/>
          <w:sz w:val="32"/>
          <w:szCs w:val="32"/>
          <w:highlight w:val="none"/>
          <w:lang w:val="en-US" w:eastAsia="zh-CN" w:bidi="ar-SA"/>
        </w:rPr>
        <w:t>从</w:t>
      </w:r>
      <w:r>
        <w:rPr>
          <w:rFonts w:hint="eastAsia" w:ascii="楷体" w:hAnsi="楷体" w:eastAsia="楷体" w:cs="楷体"/>
          <w:b/>
          <w:bCs/>
          <w:kern w:val="2"/>
          <w:sz w:val="32"/>
          <w:szCs w:val="32"/>
          <w:highlight w:val="none"/>
          <w:lang w:val="en-US" w:eastAsia="zh-CN" w:bidi="ar-SA"/>
        </w:rPr>
        <w:t>电量占比</w:t>
      </w:r>
      <w:r>
        <w:rPr>
          <w:rFonts w:hint="default" w:ascii="楷体" w:hAnsi="楷体" w:eastAsia="楷体" w:cs="楷体"/>
          <w:b/>
          <w:bCs/>
          <w:kern w:val="2"/>
          <w:sz w:val="32"/>
          <w:szCs w:val="32"/>
          <w:highlight w:val="none"/>
          <w:lang w:val="en-US" w:eastAsia="zh-CN" w:bidi="ar-SA"/>
        </w:rPr>
        <w:t>看，</w:t>
      </w:r>
      <w:r>
        <w:rPr>
          <w:rFonts w:hint="eastAsia" w:ascii="仿宋_GB2312" w:eastAsia="仿宋_GB2312" w:cstheme="minorBidi"/>
          <w:b w:val="0"/>
          <w:bCs w:val="0"/>
          <w:kern w:val="2"/>
          <w:sz w:val="32"/>
          <w:szCs w:val="32"/>
          <w:highlight w:val="none"/>
          <w:lang w:val="en-US" w:eastAsia="zh-CN" w:bidi="ar-SA"/>
        </w:rPr>
        <w:t>二产、三产电量占比相当，三产占比整体呈上升趋势，其中：2020-2022年期间，三产受疫情影响更大，二产占比有所回升；2023年开始，三产电量占比超过二产。对比看，</w:t>
      </w:r>
      <w:r>
        <w:rPr>
          <w:rFonts w:hint="eastAsia" w:ascii="楷体" w:hAnsi="楷体" w:eastAsia="楷体" w:cs="楷体"/>
          <w:b/>
          <w:bCs/>
          <w:kern w:val="2"/>
          <w:sz w:val="32"/>
          <w:szCs w:val="32"/>
          <w:highlight w:val="none"/>
          <w:lang w:val="en-US" w:eastAsia="zh-CN" w:bidi="ar-SA"/>
        </w:rPr>
        <w:t>二产单位GDP耗电量显著高于三产</w:t>
      </w:r>
      <w:r>
        <w:rPr>
          <w:rFonts w:hint="eastAsia" w:ascii="仿宋_GB2312" w:eastAsia="仿宋_GB2312" w:cstheme="minorBidi"/>
          <w:b w:val="0"/>
          <w:bCs w:val="0"/>
          <w:kern w:val="2"/>
          <w:sz w:val="32"/>
          <w:szCs w:val="32"/>
          <w:highlight w:val="none"/>
          <w:lang w:val="en-US" w:eastAsia="zh-CN" w:bidi="ar-SA"/>
        </w:rPr>
        <w:t>。</w:t>
      </w:r>
    </w:p>
    <w:p w14:paraId="4CE453E0">
      <w:pPr>
        <w:keepNext w:val="0"/>
        <w:keepLines w:val="0"/>
        <w:pageBreakBefore w:val="0"/>
        <w:widowControl w:val="0"/>
        <w:shd w:val="clear"/>
        <w:kinsoku/>
        <w:wordWrap/>
        <w:overflowPunct/>
        <w:topLinePunct w:val="0"/>
        <w:autoSpaceDE/>
        <w:autoSpaceDN/>
        <w:bidi w:val="0"/>
        <w:adjustRightInd/>
        <w:snapToGrid/>
        <w:spacing w:line="240" w:lineRule="auto"/>
        <w:ind w:firstLine="0" w:firstLineChars="0"/>
        <w:textAlignment w:val="auto"/>
        <w:rPr>
          <w:sz w:val="32"/>
          <w:szCs w:val="32"/>
          <w:highlight w:val="none"/>
        </w:rPr>
      </w:pPr>
      <w:r>
        <w:rPr>
          <w:rFonts w:hint="eastAsia" w:ascii="楷体" w:hAnsi="楷体" w:eastAsia="楷体" w:cs="楷体"/>
          <w:b/>
          <w:bCs/>
          <w:sz w:val="32"/>
          <w:szCs w:val="32"/>
          <w:highlight w:val="none"/>
          <w:lang w:val="en-US" w:eastAsia="zh-CN"/>
        </w:rPr>
        <w:drawing>
          <wp:inline distT="0" distB="0" distL="114300" distR="114300">
            <wp:extent cx="5256530" cy="1619885"/>
            <wp:effectExtent l="4445" t="4445" r="9525" b="1397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9290CE">
      <w:pPr>
        <w:pStyle w:val="7"/>
        <w:numPr>
          <w:ilvl w:val="0"/>
          <w:numId w:val="0"/>
        </w:numPr>
        <w:shd w:val="clear"/>
        <w:bidi w:val="0"/>
        <w:spacing w:line="240" w:lineRule="auto"/>
        <w:ind w:firstLine="0" w:firstLineChars="0"/>
        <w:jc w:val="center"/>
        <w:rPr>
          <w:rFonts w:hint="eastAsia" w:ascii="仿宋_GB2312" w:hAnsi="仿宋_GB2312" w:eastAsia="仿宋_GB2312" w:cstheme="minorBidi"/>
          <w:b/>
          <w:bCs/>
          <w:kern w:val="2"/>
          <w:sz w:val="21"/>
          <w:szCs w:val="21"/>
          <w:highlight w:val="none"/>
          <w:lang w:val="en-US" w:eastAsia="zh-CN" w:bidi="ar-SA"/>
        </w:rPr>
      </w:pPr>
      <w:r>
        <w:rPr>
          <w:rFonts w:hint="eastAsia" w:ascii="仿宋_GB2312" w:hAnsi="仿宋_GB2312" w:eastAsia="仿宋_GB2312" w:cstheme="minorBidi"/>
          <w:b/>
          <w:bCs/>
          <w:kern w:val="2"/>
          <w:sz w:val="21"/>
          <w:szCs w:val="21"/>
          <w:highlight w:val="none"/>
          <w:lang w:val="en-US" w:eastAsia="zh-CN" w:bidi="ar-SA"/>
        </w:rPr>
        <w:t>图</w:t>
      </w:r>
      <w:r>
        <w:rPr>
          <w:rFonts w:hint="eastAsia" w:ascii="仿宋_GB2312" w:hAnsi="仿宋_GB2312" w:eastAsia="仿宋_GB2312" w:cstheme="minorBidi"/>
          <w:b/>
          <w:bCs/>
          <w:kern w:val="2"/>
          <w:sz w:val="21"/>
          <w:szCs w:val="21"/>
          <w:highlight w:val="none"/>
          <w:lang w:val="en-US" w:eastAsia="zh-CN" w:bidi="ar-SA"/>
        </w:rPr>
        <w:fldChar w:fldCharType="begin"/>
      </w:r>
      <w:r>
        <w:rPr>
          <w:rFonts w:hint="eastAsia" w:ascii="仿宋_GB2312" w:hAnsi="仿宋_GB2312" w:eastAsia="仿宋_GB2312" w:cstheme="minorBidi"/>
          <w:b/>
          <w:bCs/>
          <w:kern w:val="2"/>
          <w:sz w:val="21"/>
          <w:szCs w:val="21"/>
          <w:highlight w:val="none"/>
          <w:lang w:val="en-US" w:eastAsia="zh-CN" w:bidi="ar-SA"/>
        </w:rPr>
        <w:instrText xml:space="preserve"> SEQ 图 \* ARABIC </w:instrText>
      </w:r>
      <w:r>
        <w:rPr>
          <w:rFonts w:hint="eastAsia" w:ascii="仿宋_GB2312" w:hAnsi="仿宋_GB2312" w:eastAsia="仿宋_GB2312" w:cstheme="minorBidi"/>
          <w:b/>
          <w:bCs/>
          <w:kern w:val="2"/>
          <w:sz w:val="21"/>
          <w:szCs w:val="21"/>
          <w:highlight w:val="none"/>
          <w:lang w:val="en-US" w:eastAsia="zh-CN" w:bidi="ar-SA"/>
        </w:rPr>
        <w:fldChar w:fldCharType="separate"/>
      </w:r>
      <w:r>
        <w:rPr>
          <w:rFonts w:hint="eastAsia" w:ascii="仿宋_GB2312" w:hAnsi="仿宋_GB2312" w:eastAsia="仿宋_GB2312" w:cstheme="minorBidi"/>
          <w:b/>
          <w:bCs/>
          <w:kern w:val="2"/>
          <w:sz w:val="21"/>
          <w:szCs w:val="21"/>
          <w:highlight w:val="none"/>
          <w:lang w:val="en-US" w:eastAsia="zh-CN" w:bidi="ar-SA"/>
        </w:rPr>
        <w:t>4</w:t>
      </w:r>
      <w:r>
        <w:rPr>
          <w:rFonts w:hint="eastAsia" w:ascii="仿宋_GB2312" w:hAnsi="仿宋_GB2312" w:eastAsia="仿宋_GB2312" w:cstheme="minorBidi"/>
          <w:b/>
          <w:bCs/>
          <w:kern w:val="2"/>
          <w:sz w:val="21"/>
          <w:szCs w:val="21"/>
          <w:highlight w:val="none"/>
          <w:lang w:val="en-US" w:eastAsia="zh-CN" w:bidi="ar-SA"/>
        </w:rPr>
        <w:fldChar w:fldCharType="end"/>
      </w:r>
      <w:r>
        <w:rPr>
          <w:rFonts w:hint="eastAsia" w:ascii="仿宋_GB2312" w:hAnsi="仿宋_GB2312" w:eastAsia="仿宋_GB2312" w:cstheme="minorBidi"/>
          <w:b/>
          <w:bCs/>
          <w:kern w:val="2"/>
          <w:sz w:val="21"/>
          <w:szCs w:val="21"/>
          <w:highlight w:val="none"/>
          <w:lang w:val="en-US" w:eastAsia="zh-CN" w:bidi="ar-SA"/>
        </w:rPr>
        <w:t xml:space="preserve">  上海二产、三产GDP、售电量占比（剔除城乡居民生活用电）</w:t>
      </w:r>
    </w:p>
    <w:p w14:paraId="59352583">
      <w:pPr>
        <w:pStyle w:val="10"/>
        <w:pageBreakBefore w:val="0"/>
        <w:shd w:val="clear"/>
        <w:kinsoku/>
        <w:wordWrap/>
        <w:overflowPunct/>
        <w:topLinePunct w:val="0"/>
        <w:autoSpaceDE/>
        <w:autoSpaceDN/>
        <w:bidi w:val="0"/>
        <w:adjustRightInd/>
        <w:snapToGrid/>
        <w:spacing w:line="560" w:lineRule="exact"/>
        <w:rPr>
          <w:rFonts w:hint="eastAsia" w:ascii="仿宋_GB2312" w:eastAsia="仿宋_GB2312" w:cstheme="minorBidi"/>
          <w:b/>
          <w:bCs/>
          <w:kern w:val="2"/>
          <w:sz w:val="32"/>
          <w:szCs w:val="32"/>
          <w:highlight w:val="none"/>
          <w:lang w:val="en-US" w:eastAsia="zh-CN" w:bidi="ar-SA"/>
        </w:rPr>
      </w:pPr>
      <w:r>
        <w:rPr>
          <w:rFonts w:hint="eastAsia" w:ascii="仿宋_GB2312" w:eastAsia="仿宋_GB2312" w:cstheme="minorBidi"/>
          <w:b/>
          <w:bCs/>
          <w:kern w:val="2"/>
          <w:sz w:val="32"/>
          <w:szCs w:val="32"/>
          <w:highlight w:val="none"/>
          <w:lang w:val="en-US" w:eastAsia="zh-CN" w:bidi="ar-SA"/>
        </w:rPr>
        <w:t>（2）涨幅分析</w:t>
      </w:r>
    </w:p>
    <w:p w14:paraId="37A8FC75">
      <w:pPr>
        <w:shd w:val="clear"/>
        <w:rPr>
          <w:rFonts w:hint="default"/>
          <w:highlight w:val="none"/>
          <w:lang w:val="en-US" w:eastAsia="zh-CN"/>
        </w:rPr>
      </w:pPr>
      <w:r>
        <w:rPr>
          <w:rFonts w:hint="eastAsia"/>
          <w:highlight w:val="none"/>
          <w:lang w:val="en-US" w:eastAsia="zh-CN"/>
        </w:rPr>
        <w:t>三产GDP增长曲线与上海整体趋势更为接近，三产电力消费弹性系数曲线在剔除2022年疫情影响后，也几乎与上海整体吻合。因此，第三产业是上海售电量增长率高于GDP增长率以及电力消费弹性系数波动大的主要原因。</w:t>
      </w:r>
    </w:p>
    <w:p w14:paraId="49709C0E">
      <w:pPr>
        <w:pStyle w:val="7"/>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Chars="0" w:firstLine="0" w:firstLineChars="0"/>
        <w:jc w:val="center"/>
        <w:textAlignment w:val="auto"/>
        <w:rPr>
          <w:rFonts w:hint="eastAsia" w:ascii="仿宋_GB2312" w:hAnsi="仿宋_GB2312" w:eastAsia="仿宋_GB2312" w:cstheme="minorBidi"/>
          <w:b/>
          <w:bCs/>
          <w:kern w:val="2"/>
          <w:sz w:val="21"/>
          <w:szCs w:val="21"/>
          <w:highlight w:val="none"/>
          <w:lang w:val="en-US" w:eastAsia="zh-CN" w:bidi="ar-SA"/>
        </w:rPr>
      </w:pPr>
      <w:r>
        <w:rPr>
          <w:rFonts w:hint="eastAsia" w:ascii="楷体" w:hAnsi="楷体" w:eastAsia="楷体" w:cs="楷体"/>
          <w:b/>
          <w:bCs/>
          <w:sz w:val="32"/>
          <w:szCs w:val="32"/>
          <w:highlight w:val="none"/>
          <w:lang w:val="en-US" w:eastAsia="zh-CN"/>
        </w:rPr>
        <w:drawing>
          <wp:inline distT="0" distB="0" distL="114300" distR="114300">
            <wp:extent cx="5256530" cy="1619885"/>
            <wp:effectExtent l="4445" t="4445" r="9525" b="1397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hint="eastAsia" w:ascii="仿宋_GB2312" w:hAnsi="仿宋_GB2312" w:eastAsia="仿宋_GB2312" w:cstheme="minorBidi"/>
          <w:b/>
          <w:bCs/>
          <w:kern w:val="2"/>
          <w:sz w:val="21"/>
          <w:szCs w:val="21"/>
          <w:highlight w:val="none"/>
          <w:lang w:val="en-US" w:eastAsia="zh-CN" w:bidi="ar-SA"/>
        </w:rPr>
        <w:t>图</w:t>
      </w:r>
      <w:r>
        <w:rPr>
          <w:rFonts w:hint="eastAsia" w:ascii="仿宋_GB2312" w:hAnsi="仿宋_GB2312" w:eastAsia="仿宋_GB2312" w:cstheme="minorBidi"/>
          <w:b/>
          <w:bCs/>
          <w:kern w:val="2"/>
          <w:sz w:val="21"/>
          <w:szCs w:val="21"/>
          <w:highlight w:val="none"/>
          <w:lang w:val="en-US" w:eastAsia="zh-CN" w:bidi="ar-SA"/>
        </w:rPr>
        <w:fldChar w:fldCharType="begin"/>
      </w:r>
      <w:r>
        <w:rPr>
          <w:rFonts w:hint="eastAsia" w:ascii="仿宋_GB2312" w:hAnsi="仿宋_GB2312" w:eastAsia="仿宋_GB2312" w:cstheme="minorBidi"/>
          <w:b/>
          <w:bCs/>
          <w:kern w:val="2"/>
          <w:sz w:val="21"/>
          <w:szCs w:val="21"/>
          <w:highlight w:val="none"/>
          <w:lang w:val="en-US" w:eastAsia="zh-CN" w:bidi="ar-SA"/>
        </w:rPr>
        <w:instrText xml:space="preserve"> SEQ 图 \* ARABIC </w:instrText>
      </w:r>
      <w:r>
        <w:rPr>
          <w:rFonts w:hint="eastAsia" w:ascii="仿宋_GB2312" w:hAnsi="仿宋_GB2312" w:eastAsia="仿宋_GB2312" w:cstheme="minorBidi"/>
          <w:b/>
          <w:bCs/>
          <w:kern w:val="2"/>
          <w:sz w:val="21"/>
          <w:szCs w:val="21"/>
          <w:highlight w:val="none"/>
          <w:lang w:val="en-US" w:eastAsia="zh-CN" w:bidi="ar-SA"/>
        </w:rPr>
        <w:fldChar w:fldCharType="separate"/>
      </w:r>
      <w:r>
        <w:rPr>
          <w:rFonts w:hint="eastAsia" w:ascii="仿宋_GB2312" w:hAnsi="仿宋_GB2312" w:eastAsia="仿宋_GB2312" w:cstheme="minorBidi"/>
          <w:b/>
          <w:bCs/>
          <w:kern w:val="2"/>
          <w:sz w:val="21"/>
          <w:szCs w:val="21"/>
          <w:highlight w:val="none"/>
          <w:lang w:val="en-US" w:eastAsia="zh-CN" w:bidi="ar-SA"/>
        </w:rPr>
        <w:t>5</w:t>
      </w:r>
      <w:r>
        <w:rPr>
          <w:rFonts w:hint="eastAsia" w:ascii="仿宋_GB2312" w:hAnsi="仿宋_GB2312" w:eastAsia="仿宋_GB2312" w:cstheme="minorBidi"/>
          <w:b/>
          <w:bCs/>
          <w:kern w:val="2"/>
          <w:sz w:val="21"/>
          <w:szCs w:val="21"/>
          <w:highlight w:val="none"/>
          <w:lang w:val="en-US" w:eastAsia="zh-CN" w:bidi="ar-SA"/>
        </w:rPr>
        <w:fldChar w:fldCharType="end"/>
      </w:r>
      <w:r>
        <w:rPr>
          <w:rFonts w:hint="eastAsia" w:ascii="仿宋_GB2312" w:hAnsi="仿宋_GB2312" w:eastAsia="仿宋_GB2312" w:cstheme="minorBidi"/>
          <w:b/>
          <w:bCs/>
          <w:kern w:val="2"/>
          <w:sz w:val="21"/>
          <w:szCs w:val="21"/>
          <w:highlight w:val="none"/>
          <w:lang w:val="en-US" w:eastAsia="zh-CN" w:bidi="ar-SA"/>
        </w:rPr>
        <w:t xml:space="preserve">  上海二产、三产GDP增长率</w:t>
      </w:r>
    </w:p>
    <w:p w14:paraId="272BA5B1">
      <w:pPr>
        <w:keepNext w:val="0"/>
        <w:keepLines w:val="0"/>
        <w:pageBreakBefore w:val="0"/>
        <w:widowControl w:val="0"/>
        <w:shd w:val="clear"/>
        <w:kinsoku/>
        <w:wordWrap/>
        <w:overflowPunct/>
        <w:topLinePunct w:val="0"/>
        <w:autoSpaceDE/>
        <w:autoSpaceDN/>
        <w:bidi w:val="0"/>
        <w:adjustRightInd/>
        <w:snapToGrid/>
        <w:spacing w:line="240" w:lineRule="auto"/>
        <w:ind w:firstLine="0" w:firstLineChars="0"/>
        <w:textAlignment w:val="auto"/>
        <w:rPr>
          <w:rFonts w:hint="eastAsia" w:ascii="楷体" w:hAnsi="楷体" w:eastAsia="楷体" w:cs="楷体"/>
          <w:b/>
          <w:bCs/>
          <w:sz w:val="32"/>
          <w:szCs w:val="32"/>
          <w:highlight w:val="none"/>
          <w:lang w:val="en-US" w:eastAsia="zh-CN"/>
        </w:rPr>
      </w:pPr>
      <w:r>
        <w:rPr>
          <w:rFonts w:hint="eastAsia" w:ascii="楷体" w:hAnsi="楷体" w:eastAsia="楷体" w:cs="楷体"/>
          <w:b/>
          <w:bCs/>
          <w:sz w:val="32"/>
          <w:szCs w:val="32"/>
          <w:highlight w:val="none"/>
          <w:lang w:val="en-US" w:eastAsia="zh-CN"/>
        </w:rPr>
        <w:drawing>
          <wp:inline distT="0" distB="0" distL="114300" distR="114300">
            <wp:extent cx="5264785" cy="1619885"/>
            <wp:effectExtent l="4445" t="4445" r="13970" b="1397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1F7B72">
      <w:pPr>
        <w:pStyle w:val="7"/>
        <w:numPr>
          <w:ilvl w:val="0"/>
          <w:numId w:val="0"/>
        </w:numPr>
        <w:shd w:val="clear"/>
        <w:bidi w:val="0"/>
        <w:spacing w:line="240" w:lineRule="auto"/>
        <w:ind w:firstLine="0" w:firstLineChars="0"/>
        <w:jc w:val="center"/>
        <w:rPr>
          <w:rFonts w:hint="default" w:ascii="仿宋_GB2312" w:hAnsi="仿宋_GB2312" w:eastAsia="仿宋_GB2312" w:cstheme="minorBidi"/>
          <w:b/>
          <w:bCs/>
          <w:kern w:val="2"/>
          <w:sz w:val="21"/>
          <w:szCs w:val="21"/>
          <w:highlight w:val="none"/>
          <w:lang w:val="en-US" w:eastAsia="zh-CN" w:bidi="ar-SA"/>
        </w:rPr>
      </w:pPr>
      <w:r>
        <w:rPr>
          <w:rFonts w:hint="eastAsia" w:ascii="仿宋_GB2312" w:hAnsi="仿宋_GB2312" w:eastAsia="仿宋_GB2312" w:cstheme="minorBidi"/>
          <w:b/>
          <w:bCs/>
          <w:kern w:val="2"/>
          <w:sz w:val="21"/>
          <w:szCs w:val="21"/>
          <w:highlight w:val="none"/>
          <w:lang w:val="en-US" w:eastAsia="zh-CN" w:bidi="ar-SA"/>
        </w:rPr>
        <w:t>图</w:t>
      </w:r>
      <w:r>
        <w:rPr>
          <w:rFonts w:hint="eastAsia" w:ascii="仿宋_GB2312" w:hAnsi="仿宋_GB2312" w:eastAsia="仿宋_GB2312" w:cstheme="minorBidi"/>
          <w:b/>
          <w:bCs/>
          <w:kern w:val="2"/>
          <w:sz w:val="21"/>
          <w:szCs w:val="21"/>
          <w:highlight w:val="none"/>
          <w:lang w:val="en-US" w:eastAsia="zh-CN" w:bidi="ar-SA"/>
        </w:rPr>
        <w:fldChar w:fldCharType="begin"/>
      </w:r>
      <w:r>
        <w:rPr>
          <w:rFonts w:hint="eastAsia" w:ascii="仿宋_GB2312" w:hAnsi="仿宋_GB2312" w:eastAsia="仿宋_GB2312" w:cstheme="minorBidi"/>
          <w:b/>
          <w:bCs/>
          <w:kern w:val="2"/>
          <w:sz w:val="21"/>
          <w:szCs w:val="21"/>
          <w:highlight w:val="none"/>
          <w:lang w:val="en-US" w:eastAsia="zh-CN" w:bidi="ar-SA"/>
        </w:rPr>
        <w:instrText xml:space="preserve"> SEQ 图 \* ARABIC </w:instrText>
      </w:r>
      <w:r>
        <w:rPr>
          <w:rFonts w:hint="eastAsia" w:ascii="仿宋_GB2312" w:hAnsi="仿宋_GB2312" w:eastAsia="仿宋_GB2312" w:cstheme="minorBidi"/>
          <w:b/>
          <w:bCs/>
          <w:kern w:val="2"/>
          <w:sz w:val="21"/>
          <w:szCs w:val="21"/>
          <w:highlight w:val="none"/>
          <w:lang w:val="en-US" w:eastAsia="zh-CN" w:bidi="ar-SA"/>
        </w:rPr>
        <w:fldChar w:fldCharType="separate"/>
      </w:r>
      <w:r>
        <w:rPr>
          <w:rFonts w:hint="eastAsia" w:ascii="仿宋_GB2312" w:hAnsi="仿宋_GB2312" w:eastAsia="仿宋_GB2312" w:cstheme="minorBidi"/>
          <w:b/>
          <w:bCs/>
          <w:kern w:val="2"/>
          <w:sz w:val="21"/>
          <w:szCs w:val="21"/>
          <w:highlight w:val="none"/>
          <w:lang w:val="en-US" w:eastAsia="zh-CN" w:bidi="ar-SA"/>
        </w:rPr>
        <w:t>6</w:t>
      </w:r>
      <w:r>
        <w:rPr>
          <w:rFonts w:hint="eastAsia" w:ascii="仿宋_GB2312" w:hAnsi="仿宋_GB2312" w:eastAsia="仿宋_GB2312" w:cstheme="minorBidi"/>
          <w:b/>
          <w:bCs/>
          <w:kern w:val="2"/>
          <w:sz w:val="21"/>
          <w:szCs w:val="21"/>
          <w:highlight w:val="none"/>
          <w:lang w:val="en-US" w:eastAsia="zh-CN" w:bidi="ar-SA"/>
        </w:rPr>
        <w:fldChar w:fldCharType="end"/>
      </w:r>
      <w:r>
        <w:rPr>
          <w:rFonts w:hint="eastAsia" w:ascii="仿宋_GB2312" w:hAnsi="仿宋_GB2312" w:eastAsia="仿宋_GB2312" w:cstheme="minorBidi"/>
          <w:b/>
          <w:bCs/>
          <w:kern w:val="2"/>
          <w:sz w:val="21"/>
          <w:szCs w:val="21"/>
          <w:highlight w:val="none"/>
          <w:lang w:val="en-US" w:eastAsia="zh-CN" w:bidi="ar-SA"/>
        </w:rPr>
        <w:t xml:space="preserve">  上海二产、三产电力消费弹性系数</w:t>
      </w:r>
    </w:p>
    <w:p w14:paraId="06748EB3">
      <w:pPr>
        <w:pStyle w:val="10"/>
        <w:pageBreakBefore w:val="0"/>
        <w:shd w:val="clear"/>
        <w:kinsoku/>
        <w:wordWrap/>
        <w:overflowPunct/>
        <w:topLinePunct w:val="0"/>
        <w:autoSpaceDE/>
        <w:autoSpaceDN/>
        <w:bidi w:val="0"/>
        <w:adjustRightInd/>
        <w:snapToGrid/>
        <w:spacing w:line="560" w:lineRule="exact"/>
        <w:rPr>
          <w:rFonts w:hint="eastAsia" w:ascii="仿宋_GB2312" w:eastAsia="仿宋_GB2312" w:cstheme="minorBidi"/>
          <w:b w:val="0"/>
          <w:bCs w:val="0"/>
          <w:kern w:val="2"/>
          <w:sz w:val="32"/>
          <w:szCs w:val="32"/>
          <w:highlight w:val="none"/>
          <w:lang w:val="en-US" w:eastAsia="zh-CN" w:bidi="ar-SA"/>
        </w:rPr>
      </w:pPr>
      <w:r>
        <w:rPr>
          <w:rFonts w:hint="eastAsia" w:ascii="楷体" w:hAnsi="楷体" w:eastAsia="楷体" w:cs="楷体"/>
          <w:b/>
          <w:bCs/>
          <w:kern w:val="2"/>
          <w:sz w:val="32"/>
          <w:szCs w:val="32"/>
          <w:highlight w:val="none"/>
          <w:lang w:val="en-US" w:eastAsia="zh-CN" w:bidi="ar-SA"/>
        </w:rPr>
        <w:t>对于二产而言，</w:t>
      </w:r>
      <w:r>
        <w:rPr>
          <w:rFonts w:hint="eastAsia" w:ascii="仿宋_GB2312" w:eastAsia="仿宋_GB2312" w:cstheme="minorBidi"/>
          <w:b w:val="0"/>
          <w:bCs w:val="0"/>
          <w:kern w:val="2"/>
          <w:sz w:val="32"/>
          <w:szCs w:val="32"/>
          <w:highlight w:val="none"/>
          <w:lang w:val="en-US" w:eastAsia="zh-CN" w:bidi="ar-SA"/>
        </w:rPr>
        <w:t>2015年起，供给侧改革驱动过剩的高耗能工业产业拉开去产能序幕，二产电量增速下滑，电力消费弹性系数下降；2019年，受中美贸易战等因素影响，出口受限，汽车、轻工、电子等行业面临下行压力，GDP增幅接近于0，弹性系数异常增大；2020-2022年，电力消费弹性系数保持在“1”以下；随后，随着新质生产力和产业转型，二产电力消费弹性系数大于1，处于较高水平。</w:t>
      </w:r>
    </w:p>
    <w:p w14:paraId="28116F41">
      <w:pPr>
        <w:pStyle w:val="10"/>
        <w:pageBreakBefore w:val="0"/>
        <w:shd w:val="clear"/>
        <w:kinsoku/>
        <w:wordWrap/>
        <w:overflowPunct/>
        <w:topLinePunct w:val="0"/>
        <w:autoSpaceDE/>
        <w:autoSpaceDN/>
        <w:bidi w:val="0"/>
        <w:adjustRightInd/>
        <w:snapToGrid/>
        <w:spacing w:line="560" w:lineRule="exact"/>
        <w:rPr>
          <w:rFonts w:hint="eastAsia" w:ascii="仿宋_GB2312" w:eastAsia="仿宋_GB2312" w:cstheme="minorBidi"/>
          <w:b w:val="0"/>
          <w:bCs w:val="0"/>
          <w:kern w:val="2"/>
          <w:sz w:val="32"/>
          <w:szCs w:val="32"/>
          <w:highlight w:val="none"/>
          <w:lang w:val="en-US" w:eastAsia="zh-CN" w:bidi="ar-SA"/>
        </w:rPr>
      </w:pPr>
      <w:r>
        <w:rPr>
          <w:rFonts w:hint="eastAsia" w:ascii="楷体" w:hAnsi="楷体" w:eastAsia="楷体" w:cs="楷体"/>
          <w:b/>
          <w:bCs/>
          <w:kern w:val="2"/>
          <w:sz w:val="32"/>
          <w:szCs w:val="32"/>
          <w:highlight w:val="none"/>
          <w:lang w:val="en-US" w:eastAsia="zh-CN" w:bidi="ar-SA"/>
        </w:rPr>
        <w:t>对于三产而言，</w:t>
      </w:r>
      <w:r>
        <w:rPr>
          <w:rFonts w:hint="eastAsia" w:ascii="仿宋_GB2312" w:eastAsia="仿宋_GB2312" w:cstheme="minorBidi"/>
          <w:b w:val="0"/>
          <w:bCs w:val="0"/>
          <w:kern w:val="2"/>
          <w:sz w:val="32"/>
          <w:szCs w:val="32"/>
          <w:highlight w:val="none"/>
          <w:lang w:val="en-US" w:eastAsia="zh-CN" w:bidi="ar-SA"/>
        </w:rPr>
        <w:t>2015-2019年间，电力消费弹性系数整体较为稳定；2020-2022年因为疫情影响剧烈波动，特别是2022年售电量下降1.35%，但由于GDP增幅接近于0，导致弹性系数严重偏离，说明三产受疫情影响较大；2023年以后，弹性系数大于1，呈稳定下降趋势。</w:t>
      </w:r>
    </w:p>
    <w:p w14:paraId="07387947">
      <w:pPr>
        <w:pStyle w:val="10"/>
        <w:keepNext w:val="0"/>
        <w:keepLines w:val="0"/>
        <w:pageBreakBefore w:val="0"/>
        <w:widowControl w:val="0"/>
        <w:shd w:val="clear"/>
        <w:kinsoku/>
        <w:wordWrap/>
        <w:overflowPunct/>
        <w:topLinePunct w:val="0"/>
        <w:autoSpaceDE/>
        <w:autoSpaceDN/>
        <w:bidi w:val="0"/>
        <w:adjustRightInd/>
        <w:snapToGrid/>
        <w:spacing w:line="240" w:lineRule="auto"/>
        <w:ind w:firstLine="0" w:firstLineChars="0"/>
        <w:textAlignment w:val="auto"/>
        <w:rPr>
          <w:rFonts w:hint="eastAsia" w:ascii="楷体" w:hAnsi="楷体" w:eastAsia="楷体" w:cs="楷体"/>
          <w:b/>
          <w:bCs/>
          <w:sz w:val="32"/>
          <w:szCs w:val="32"/>
          <w:highlight w:val="none"/>
          <w:lang w:val="en-US" w:eastAsia="zh-CN"/>
        </w:rPr>
      </w:pPr>
      <w:r>
        <w:rPr>
          <w:rFonts w:hint="eastAsia" w:ascii="楷体" w:hAnsi="楷体" w:eastAsia="楷体" w:cs="楷体"/>
          <w:b/>
          <w:bCs/>
          <w:sz w:val="32"/>
          <w:szCs w:val="32"/>
          <w:highlight w:val="none"/>
          <w:lang w:val="en-US" w:eastAsia="zh-CN"/>
        </w:rPr>
        <w:drawing>
          <wp:inline distT="0" distB="0" distL="114300" distR="114300">
            <wp:extent cx="5256530" cy="1943735"/>
            <wp:effectExtent l="4445" t="4445" r="9525" b="762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333A8AC">
      <w:pPr>
        <w:keepNext w:val="0"/>
        <w:keepLines w:val="0"/>
        <w:pageBreakBefore w:val="0"/>
        <w:widowControl w:val="0"/>
        <w:shd w:val="clear"/>
        <w:kinsoku/>
        <w:wordWrap/>
        <w:overflowPunct/>
        <w:topLinePunct w:val="0"/>
        <w:autoSpaceDE/>
        <w:autoSpaceDN/>
        <w:bidi w:val="0"/>
        <w:adjustRightInd/>
        <w:snapToGrid/>
        <w:ind w:firstLine="0" w:firstLineChars="0"/>
        <w:jc w:val="center"/>
        <w:textAlignment w:val="auto"/>
        <w:rPr>
          <w:rFonts w:hint="eastAsia"/>
          <w:highlight w:val="none"/>
          <w:lang w:val="en-US" w:eastAsia="zh-CN"/>
        </w:rPr>
      </w:pPr>
      <w:r>
        <w:rPr>
          <w:rFonts w:hint="eastAsia" w:ascii="仿宋_GB2312" w:hAnsi="仿宋_GB2312" w:eastAsia="仿宋_GB2312" w:cstheme="minorBidi"/>
          <w:b/>
          <w:bCs/>
          <w:kern w:val="2"/>
          <w:sz w:val="21"/>
          <w:szCs w:val="21"/>
          <w:highlight w:val="none"/>
          <w:lang w:val="en-US" w:eastAsia="zh-CN" w:bidi="ar-SA"/>
        </w:rPr>
        <w:t>图</w:t>
      </w:r>
      <w:r>
        <w:rPr>
          <w:rFonts w:hint="eastAsia" w:ascii="仿宋_GB2312" w:hAnsi="仿宋_GB2312" w:eastAsia="仿宋_GB2312" w:cstheme="minorBidi"/>
          <w:b/>
          <w:bCs/>
          <w:kern w:val="2"/>
          <w:sz w:val="21"/>
          <w:szCs w:val="21"/>
          <w:highlight w:val="none"/>
          <w:lang w:val="en-US" w:eastAsia="zh-CN" w:bidi="ar-SA"/>
        </w:rPr>
        <w:fldChar w:fldCharType="begin"/>
      </w:r>
      <w:r>
        <w:rPr>
          <w:rFonts w:hint="eastAsia" w:ascii="仿宋_GB2312" w:hAnsi="仿宋_GB2312" w:eastAsia="仿宋_GB2312" w:cstheme="minorBidi"/>
          <w:b/>
          <w:bCs/>
          <w:kern w:val="2"/>
          <w:sz w:val="21"/>
          <w:szCs w:val="21"/>
          <w:highlight w:val="none"/>
          <w:lang w:val="en-US" w:eastAsia="zh-CN" w:bidi="ar-SA"/>
        </w:rPr>
        <w:instrText xml:space="preserve"> SEQ 图 \* ARABIC </w:instrText>
      </w:r>
      <w:r>
        <w:rPr>
          <w:rFonts w:hint="eastAsia" w:ascii="仿宋_GB2312" w:hAnsi="仿宋_GB2312" w:eastAsia="仿宋_GB2312" w:cstheme="minorBidi"/>
          <w:b/>
          <w:bCs/>
          <w:kern w:val="2"/>
          <w:sz w:val="21"/>
          <w:szCs w:val="21"/>
          <w:highlight w:val="none"/>
          <w:lang w:val="en-US" w:eastAsia="zh-CN" w:bidi="ar-SA"/>
        </w:rPr>
        <w:fldChar w:fldCharType="separate"/>
      </w:r>
      <w:r>
        <w:rPr>
          <w:rFonts w:hint="eastAsia" w:ascii="仿宋_GB2312" w:hAnsi="仿宋_GB2312" w:eastAsia="仿宋_GB2312" w:cstheme="minorBidi"/>
          <w:b/>
          <w:bCs/>
          <w:kern w:val="2"/>
          <w:sz w:val="21"/>
          <w:szCs w:val="21"/>
          <w:highlight w:val="none"/>
          <w:lang w:val="en-US" w:eastAsia="zh-CN" w:bidi="ar-SA"/>
        </w:rPr>
        <w:t>7</w:t>
      </w:r>
      <w:r>
        <w:rPr>
          <w:rFonts w:hint="eastAsia" w:ascii="仿宋_GB2312" w:hAnsi="仿宋_GB2312" w:eastAsia="仿宋_GB2312" w:cstheme="minorBidi"/>
          <w:b/>
          <w:bCs/>
          <w:kern w:val="2"/>
          <w:sz w:val="21"/>
          <w:szCs w:val="21"/>
          <w:highlight w:val="none"/>
          <w:lang w:val="en-US" w:eastAsia="zh-CN" w:bidi="ar-SA"/>
        </w:rPr>
        <w:fldChar w:fldCharType="end"/>
      </w:r>
      <w:r>
        <w:rPr>
          <w:rFonts w:hint="eastAsia" w:ascii="仿宋_GB2312" w:hAnsi="仿宋_GB2312" w:eastAsia="仿宋_GB2312" w:cstheme="minorBidi"/>
          <w:b/>
          <w:bCs/>
          <w:kern w:val="2"/>
          <w:sz w:val="21"/>
          <w:szCs w:val="21"/>
          <w:highlight w:val="none"/>
          <w:lang w:val="en-US" w:eastAsia="zh-CN" w:bidi="ar-SA"/>
        </w:rPr>
        <w:t xml:space="preserve">  上海二产GDP增长率、售电量增长率、电力消费弹性系数</w:t>
      </w:r>
    </w:p>
    <w:p w14:paraId="6633415B">
      <w:pPr>
        <w:pStyle w:val="10"/>
        <w:keepNext w:val="0"/>
        <w:keepLines w:val="0"/>
        <w:pageBreakBefore w:val="0"/>
        <w:widowControl w:val="0"/>
        <w:shd w:val="clear"/>
        <w:kinsoku/>
        <w:wordWrap/>
        <w:overflowPunct/>
        <w:topLinePunct w:val="0"/>
        <w:autoSpaceDE/>
        <w:autoSpaceDN/>
        <w:bidi w:val="0"/>
        <w:adjustRightInd/>
        <w:snapToGrid/>
        <w:spacing w:line="240" w:lineRule="auto"/>
        <w:ind w:firstLine="0" w:firstLineChars="0"/>
        <w:textAlignment w:val="auto"/>
        <w:rPr>
          <w:rFonts w:hint="eastAsia" w:ascii="楷体" w:hAnsi="楷体" w:eastAsia="楷体" w:cs="楷体"/>
          <w:b/>
          <w:bCs/>
          <w:sz w:val="32"/>
          <w:szCs w:val="32"/>
          <w:highlight w:val="none"/>
          <w:lang w:val="en-US" w:eastAsia="zh-CN"/>
        </w:rPr>
      </w:pPr>
      <w:r>
        <w:rPr>
          <w:rFonts w:hint="eastAsia" w:ascii="楷体" w:hAnsi="楷体" w:eastAsia="楷体" w:cs="楷体"/>
          <w:b/>
          <w:bCs/>
          <w:sz w:val="32"/>
          <w:szCs w:val="32"/>
          <w:highlight w:val="none"/>
          <w:lang w:val="en-US" w:eastAsia="zh-CN"/>
        </w:rPr>
        <w:drawing>
          <wp:inline distT="0" distB="0" distL="114300" distR="114300">
            <wp:extent cx="5256530" cy="1943735"/>
            <wp:effectExtent l="4445" t="4445" r="9525" b="762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491B732">
      <w:pPr>
        <w:pStyle w:val="7"/>
        <w:numPr>
          <w:ilvl w:val="0"/>
          <w:numId w:val="0"/>
        </w:numPr>
        <w:shd w:val="clear"/>
        <w:bidi w:val="0"/>
        <w:spacing w:line="240" w:lineRule="auto"/>
        <w:ind w:firstLine="0" w:firstLineChars="0"/>
        <w:jc w:val="center"/>
        <w:rPr>
          <w:rFonts w:hint="eastAsia" w:ascii="仿宋_GB2312" w:hAnsi="仿宋_GB2312" w:eastAsia="仿宋_GB2312" w:cstheme="minorBidi"/>
          <w:b/>
          <w:bCs/>
          <w:kern w:val="2"/>
          <w:sz w:val="21"/>
          <w:szCs w:val="21"/>
          <w:highlight w:val="none"/>
          <w:lang w:val="en-US" w:eastAsia="zh-CN" w:bidi="ar-SA"/>
        </w:rPr>
      </w:pPr>
      <w:r>
        <w:rPr>
          <w:rFonts w:hint="eastAsia" w:ascii="仿宋_GB2312" w:hAnsi="仿宋_GB2312" w:eastAsia="仿宋_GB2312" w:cstheme="minorBidi"/>
          <w:b/>
          <w:bCs/>
          <w:kern w:val="2"/>
          <w:sz w:val="21"/>
          <w:szCs w:val="21"/>
          <w:highlight w:val="none"/>
          <w:lang w:val="en-US" w:eastAsia="zh-CN" w:bidi="ar-SA"/>
        </w:rPr>
        <w:t>图</w:t>
      </w:r>
      <w:r>
        <w:rPr>
          <w:rFonts w:hint="eastAsia" w:ascii="仿宋_GB2312" w:hAnsi="仿宋_GB2312" w:eastAsia="仿宋_GB2312" w:cstheme="minorBidi"/>
          <w:b/>
          <w:bCs/>
          <w:kern w:val="2"/>
          <w:sz w:val="21"/>
          <w:szCs w:val="21"/>
          <w:highlight w:val="none"/>
          <w:lang w:val="en-US" w:eastAsia="zh-CN" w:bidi="ar-SA"/>
        </w:rPr>
        <w:fldChar w:fldCharType="begin"/>
      </w:r>
      <w:r>
        <w:rPr>
          <w:rFonts w:hint="eastAsia" w:ascii="仿宋_GB2312" w:hAnsi="仿宋_GB2312" w:eastAsia="仿宋_GB2312" w:cstheme="minorBidi"/>
          <w:b/>
          <w:bCs/>
          <w:kern w:val="2"/>
          <w:sz w:val="21"/>
          <w:szCs w:val="21"/>
          <w:highlight w:val="none"/>
          <w:lang w:val="en-US" w:eastAsia="zh-CN" w:bidi="ar-SA"/>
        </w:rPr>
        <w:instrText xml:space="preserve"> SEQ 图 \* ARABIC </w:instrText>
      </w:r>
      <w:r>
        <w:rPr>
          <w:rFonts w:hint="eastAsia" w:ascii="仿宋_GB2312" w:hAnsi="仿宋_GB2312" w:eastAsia="仿宋_GB2312" w:cstheme="minorBidi"/>
          <w:b/>
          <w:bCs/>
          <w:kern w:val="2"/>
          <w:sz w:val="21"/>
          <w:szCs w:val="21"/>
          <w:highlight w:val="none"/>
          <w:lang w:val="en-US" w:eastAsia="zh-CN" w:bidi="ar-SA"/>
        </w:rPr>
        <w:fldChar w:fldCharType="separate"/>
      </w:r>
      <w:r>
        <w:rPr>
          <w:rFonts w:hint="eastAsia" w:ascii="仿宋_GB2312" w:hAnsi="仿宋_GB2312" w:eastAsia="仿宋_GB2312" w:cstheme="minorBidi"/>
          <w:b/>
          <w:bCs/>
          <w:kern w:val="2"/>
          <w:sz w:val="21"/>
          <w:szCs w:val="21"/>
          <w:highlight w:val="none"/>
          <w:lang w:val="en-US" w:eastAsia="zh-CN" w:bidi="ar-SA"/>
        </w:rPr>
        <w:t>8</w:t>
      </w:r>
      <w:r>
        <w:rPr>
          <w:rFonts w:hint="eastAsia" w:ascii="仿宋_GB2312" w:hAnsi="仿宋_GB2312" w:eastAsia="仿宋_GB2312" w:cstheme="minorBidi"/>
          <w:b/>
          <w:bCs/>
          <w:kern w:val="2"/>
          <w:sz w:val="21"/>
          <w:szCs w:val="21"/>
          <w:highlight w:val="none"/>
          <w:lang w:val="en-US" w:eastAsia="zh-CN" w:bidi="ar-SA"/>
        </w:rPr>
        <w:fldChar w:fldCharType="end"/>
      </w:r>
      <w:r>
        <w:rPr>
          <w:rFonts w:hint="eastAsia" w:ascii="仿宋_GB2312" w:hAnsi="仿宋_GB2312" w:eastAsia="仿宋_GB2312" w:cstheme="minorBidi"/>
          <w:b/>
          <w:bCs/>
          <w:kern w:val="2"/>
          <w:sz w:val="21"/>
          <w:szCs w:val="21"/>
          <w:highlight w:val="none"/>
          <w:lang w:val="en-US" w:eastAsia="zh-CN" w:bidi="ar-SA"/>
        </w:rPr>
        <w:t xml:space="preserve">  上海三产GDP增长率、售电量增长率、电力消费弹性系数</w:t>
      </w:r>
    </w:p>
    <w:p w14:paraId="6DE01986">
      <w:pPr>
        <w:keepNext w:val="0"/>
        <w:keepLines w:val="0"/>
        <w:pageBreakBefore w:val="0"/>
        <w:widowControl w:val="0"/>
        <w:numPr>
          <w:ilvl w:val="0"/>
          <w:numId w:val="0"/>
        </w:numPr>
        <w:shd w:val="clear"/>
        <w:kinsoku/>
        <w:wordWrap/>
        <w:overflowPunct/>
        <w:topLinePunct w:val="0"/>
        <w:autoSpaceDE/>
        <w:autoSpaceDN/>
        <w:bidi w:val="0"/>
        <w:adjustRightInd/>
        <w:snapToGrid/>
        <w:spacing w:line="560" w:lineRule="exact"/>
        <w:ind w:leftChars="0" w:firstLine="643" w:firstLineChars="200"/>
        <w:textAlignment w:val="auto"/>
        <w:outlineLvl w:val="2"/>
        <w:rPr>
          <w:rFonts w:hint="eastAsia"/>
          <w:b/>
          <w:bCs/>
          <w:sz w:val="32"/>
          <w:szCs w:val="32"/>
          <w:highlight w:val="none"/>
          <w:lang w:val="en-US" w:eastAsia="zh-CN"/>
        </w:rPr>
      </w:pPr>
      <w:r>
        <w:rPr>
          <w:rFonts w:hint="eastAsia"/>
          <w:b/>
          <w:bCs/>
          <w:sz w:val="32"/>
          <w:szCs w:val="32"/>
          <w:highlight w:val="none"/>
          <w:lang w:val="en-US" w:eastAsia="zh-CN"/>
        </w:rPr>
        <w:t>3、分行业</w:t>
      </w:r>
    </w:p>
    <w:p w14:paraId="373073C1">
      <w:pPr>
        <w:pageBreakBefore w:val="0"/>
        <w:shd w:val="clear"/>
        <w:kinsoku/>
        <w:wordWrap/>
        <w:overflowPunct/>
        <w:topLinePunct w:val="0"/>
        <w:autoSpaceDE/>
        <w:autoSpaceDN/>
        <w:bidi w:val="0"/>
        <w:adjustRightInd/>
        <w:snapToGrid/>
        <w:spacing w:line="560" w:lineRule="exact"/>
        <w:rPr>
          <w:rFonts w:hint="eastAsia"/>
          <w:sz w:val="32"/>
          <w:szCs w:val="32"/>
          <w:highlight w:val="none"/>
          <w:lang w:val="en-US" w:eastAsia="zh-CN"/>
        </w:rPr>
      </w:pPr>
      <w:r>
        <w:rPr>
          <w:rFonts w:hint="eastAsia"/>
          <w:sz w:val="32"/>
          <w:szCs w:val="32"/>
          <w:highlight w:val="none"/>
          <w:lang w:val="en-US" w:eastAsia="zh-CN"/>
        </w:rPr>
        <w:t>上海市2024年上半年GDP占比前5的行业为：工业（占比25.62%）、金融业（占比19.01%）、信息传输软件和信息技术服务业（占比11.25%）、批发和零售业（占比10.13%）、房地产业（占比7.51%）。</w:t>
      </w:r>
    </w:p>
    <w:p w14:paraId="7DE1BF1F">
      <w:pPr>
        <w:pStyle w:val="7"/>
        <w:numPr>
          <w:ilvl w:val="0"/>
          <w:numId w:val="0"/>
        </w:numPr>
        <w:shd w:val="clear"/>
        <w:bidi w:val="0"/>
        <w:spacing w:line="240" w:lineRule="auto"/>
        <w:ind w:firstLine="0" w:firstLineChars="0"/>
        <w:jc w:val="center"/>
        <w:rPr>
          <w:rFonts w:hint="default" w:ascii="仿宋_GB2312" w:hAnsi="仿宋_GB2312" w:eastAsia="仿宋_GB2312" w:cstheme="minorBidi"/>
          <w:b/>
          <w:bCs/>
          <w:kern w:val="2"/>
          <w:sz w:val="21"/>
          <w:szCs w:val="21"/>
          <w:highlight w:val="none"/>
          <w:lang w:val="en-US" w:eastAsia="zh-CN" w:bidi="ar-SA"/>
        </w:rPr>
      </w:pPr>
      <w:r>
        <w:rPr>
          <w:rFonts w:hint="eastAsia" w:ascii="仿宋_GB2312" w:hAnsi="仿宋_GB2312" w:eastAsia="仿宋_GB2312" w:cstheme="minorBidi"/>
          <w:b/>
          <w:bCs/>
          <w:kern w:val="2"/>
          <w:sz w:val="21"/>
          <w:szCs w:val="21"/>
          <w:highlight w:val="none"/>
          <w:lang w:val="en-US" w:eastAsia="zh-CN" w:bidi="ar-SA"/>
        </w:rPr>
        <w:t>表</w:t>
      </w:r>
      <w:r>
        <w:rPr>
          <w:rFonts w:hint="eastAsia" w:ascii="仿宋_GB2312" w:hAnsi="仿宋_GB2312" w:eastAsia="仿宋_GB2312" w:cstheme="minorBidi"/>
          <w:b/>
          <w:bCs/>
          <w:kern w:val="2"/>
          <w:sz w:val="21"/>
          <w:szCs w:val="21"/>
          <w:highlight w:val="none"/>
          <w:lang w:val="en-US" w:eastAsia="zh-CN" w:bidi="ar-SA"/>
        </w:rPr>
        <w:fldChar w:fldCharType="begin"/>
      </w:r>
      <w:r>
        <w:rPr>
          <w:rFonts w:hint="eastAsia" w:ascii="仿宋_GB2312" w:hAnsi="仿宋_GB2312" w:eastAsia="仿宋_GB2312" w:cstheme="minorBidi"/>
          <w:b/>
          <w:bCs/>
          <w:kern w:val="2"/>
          <w:sz w:val="21"/>
          <w:szCs w:val="21"/>
          <w:highlight w:val="none"/>
          <w:lang w:val="en-US" w:eastAsia="zh-CN" w:bidi="ar-SA"/>
        </w:rPr>
        <w:instrText xml:space="preserve"> SEQ 表 \* ARABIC </w:instrText>
      </w:r>
      <w:r>
        <w:rPr>
          <w:rFonts w:hint="eastAsia" w:ascii="仿宋_GB2312" w:hAnsi="仿宋_GB2312" w:eastAsia="仿宋_GB2312" w:cstheme="minorBidi"/>
          <w:b/>
          <w:bCs/>
          <w:kern w:val="2"/>
          <w:sz w:val="21"/>
          <w:szCs w:val="21"/>
          <w:highlight w:val="none"/>
          <w:lang w:val="en-US" w:eastAsia="zh-CN" w:bidi="ar-SA"/>
        </w:rPr>
        <w:fldChar w:fldCharType="separate"/>
      </w:r>
      <w:r>
        <w:rPr>
          <w:rFonts w:hint="eastAsia" w:ascii="仿宋_GB2312" w:hAnsi="仿宋_GB2312" w:eastAsia="仿宋_GB2312" w:cstheme="minorBidi"/>
          <w:b/>
          <w:bCs/>
          <w:kern w:val="2"/>
          <w:sz w:val="21"/>
          <w:szCs w:val="21"/>
          <w:highlight w:val="none"/>
          <w:lang w:val="en-US" w:eastAsia="zh-CN" w:bidi="ar-SA"/>
        </w:rPr>
        <w:t>1</w:t>
      </w:r>
      <w:r>
        <w:rPr>
          <w:rFonts w:hint="eastAsia" w:ascii="仿宋_GB2312" w:hAnsi="仿宋_GB2312" w:eastAsia="仿宋_GB2312" w:cstheme="minorBidi"/>
          <w:b/>
          <w:bCs/>
          <w:kern w:val="2"/>
          <w:sz w:val="21"/>
          <w:szCs w:val="21"/>
          <w:highlight w:val="none"/>
          <w:lang w:val="en-US" w:eastAsia="zh-CN" w:bidi="ar-SA"/>
        </w:rPr>
        <w:fldChar w:fldCharType="end"/>
      </w:r>
      <w:r>
        <w:rPr>
          <w:rFonts w:hint="eastAsia" w:ascii="仿宋_GB2312" w:hAnsi="仿宋_GB2312" w:eastAsia="仿宋_GB2312" w:cstheme="minorBidi"/>
          <w:b/>
          <w:bCs/>
          <w:kern w:val="2"/>
          <w:sz w:val="21"/>
          <w:szCs w:val="21"/>
          <w:highlight w:val="none"/>
          <w:lang w:val="en-US" w:eastAsia="zh-CN" w:bidi="ar-SA"/>
        </w:rPr>
        <w:t xml:space="preserve">  行业电力消费弹性系数</w:t>
      </w:r>
    </w:p>
    <w:tbl>
      <w:tblPr>
        <w:tblStyle w:val="16"/>
        <w:tblpPr w:leftFromText="180" w:rightFromText="180" w:vertAnchor="text" w:horzAnchor="page" w:tblpXSpec="center" w:tblpY="50"/>
        <w:tblOverlap w:val="never"/>
        <w:tblW w:w="914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931"/>
        <w:gridCol w:w="1303"/>
        <w:gridCol w:w="1303"/>
        <w:gridCol w:w="1303"/>
        <w:gridCol w:w="1303"/>
      </w:tblGrid>
      <w:tr w14:paraId="4843E1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393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4984AA">
            <w:pPr>
              <w:pStyle w:val="20"/>
              <w:pageBreakBefore w:val="0"/>
              <w:shd w:val="clear"/>
              <w:kinsoku/>
              <w:wordWrap/>
              <w:overflowPunct/>
              <w:topLinePunct w:val="0"/>
              <w:autoSpaceDE/>
              <w:autoSpaceDN/>
              <w:bidi w:val="0"/>
              <w:adjustRightInd/>
              <w:snapToGrid/>
              <w:spacing w:line="560" w:lineRule="exact"/>
              <w:jc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lang w:val="en-US" w:eastAsia="zh-CN"/>
              </w:rPr>
              <w:t>行业</w:t>
            </w:r>
          </w:p>
        </w:tc>
        <w:tc>
          <w:tcPr>
            <w:tcW w:w="5212"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E5F47B">
            <w:pPr>
              <w:pStyle w:val="20"/>
              <w:pageBreakBefore w:val="0"/>
              <w:shd w:val="clear"/>
              <w:kinsoku/>
              <w:wordWrap/>
              <w:overflowPunct/>
              <w:topLinePunct w:val="0"/>
              <w:autoSpaceDE/>
              <w:autoSpaceDN/>
              <w:bidi w:val="0"/>
              <w:adjustRightInd/>
              <w:snapToGrid/>
              <w:spacing w:line="560" w:lineRule="exact"/>
              <w:jc w:val="center"/>
              <w:rPr>
                <w:rFonts w:hint="eastAsia" w:ascii="仿宋_GB2312" w:hAnsi="仿宋_GB2312" w:eastAsia="仿宋_GB2312" w:cs="仿宋_GB2312"/>
                <w:b/>
                <w:bCs/>
                <w:sz w:val="24"/>
                <w:szCs w:val="24"/>
                <w:highlight w:val="none"/>
                <w:lang w:val="en-US" w:eastAsia="zh-CN"/>
              </w:rPr>
            </w:pPr>
            <w:r>
              <w:rPr>
                <w:rFonts w:hint="eastAsia" w:ascii="仿宋_GB2312" w:hAnsi="仿宋_GB2312" w:eastAsia="仿宋_GB2312" w:cs="仿宋_GB2312"/>
                <w:b/>
                <w:bCs/>
                <w:sz w:val="24"/>
                <w:szCs w:val="24"/>
                <w:highlight w:val="none"/>
                <w:lang w:val="en-US" w:eastAsia="zh-CN"/>
              </w:rPr>
              <w:t>电力消费弹性系数</w:t>
            </w:r>
          </w:p>
        </w:tc>
      </w:tr>
      <w:tr w14:paraId="557474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jc w:val="center"/>
        </w:trPr>
        <w:tc>
          <w:tcPr>
            <w:tcW w:w="393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AC6C08">
            <w:pPr>
              <w:pStyle w:val="20"/>
              <w:pageBreakBefore w:val="0"/>
              <w:shd w:val="clear"/>
              <w:kinsoku/>
              <w:wordWrap/>
              <w:overflowPunct/>
              <w:topLinePunct w:val="0"/>
              <w:autoSpaceDE/>
              <w:autoSpaceDN/>
              <w:bidi w:val="0"/>
              <w:adjustRightInd/>
              <w:snapToGrid/>
              <w:spacing w:line="560" w:lineRule="exact"/>
              <w:jc w:val="center"/>
              <w:rPr>
                <w:rFonts w:hint="eastAsia" w:ascii="仿宋_GB2312" w:hAnsi="仿宋_GB2312" w:eastAsia="仿宋_GB2312" w:cs="仿宋_GB2312"/>
                <w:b/>
                <w:bCs/>
                <w:sz w:val="24"/>
                <w:szCs w:val="24"/>
                <w:highlight w:val="none"/>
              </w:rPr>
            </w:pP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3A6567">
            <w:pPr>
              <w:pStyle w:val="20"/>
              <w:pageBreakBefore w:val="0"/>
              <w:shd w:val="clear"/>
              <w:kinsoku/>
              <w:wordWrap/>
              <w:overflowPunct/>
              <w:topLinePunct w:val="0"/>
              <w:autoSpaceDE/>
              <w:autoSpaceDN/>
              <w:bidi w:val="0"/>
              <w:adjustRightInd/>
              <w:snapToGrid/>
              <w:spacing w:line="240" w:lineRule="auto"/>
              <w:jc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lang w:val="en-US" w:eastAsia="zh-CN"/>
              </w:rPr>
              <w:t>2021年</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DDC67">
            <w:pPr>
              <w:pStyle w:val="20"/>
              <w:pageBreakBefore w:val="0"/>
              <w:shd w:val="clear"/>
              <w:kinsoku/>
              <w:wordWrap/>
              <w:overflowPunct/>
              <w:topLinePunct w:val="0"/>
              <w:autoSpaceDE/>
              <w:autoSpaceDN/>
              <w:bidi w:val="0"/>
              <w:adjustRightInd/>
              <w:snapToGrid/>
              <w:spacing w:line="240" w:lineRule="auto"/>
              <w:jc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lang w:val="en-US" w:eastAsia="zh-CN"/>
              </w:rPr>
              <w:t>2022年</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8EEF23">
            <w:pPr>
              <w:pStyle w:val="20"/>
              <w:pageBreakBefore w:val="0"/>
              <w:shd w:val="clear"/>
              <w:kinsoku/>
              <w:wordWrap/>
              <w:overflowPunct/>
              <w:topLinePunct w:val="0"/>
              <w:autoSpaceDE/>
              <w:autoSpaceDN/>
              <w:bidi w:val="0"/>
              <w:adjustRightInd/>
              <w:snapToGrid/>
              <w:spacing w:line="240" w:lineRule="auto"/>
              <w:jc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lang w:val="en-US" w:eastAsia="zh-CN"/>
              </w:rPr>
              <w:t>2023年</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7B7186">
            <w:pPr>
              <w:pStyle w:val="20"/>
              <w:pageBreakBefore w:val="0"/>
              <w:shd w:val="clear"/>
              <w:kinsoku/>
              <w:wordWrap/>
              <w:overflowPunct/>
              <w:topLinePunct w:val="0"/>
              <w:autoSpaceDE/>
              <w:autoSpaceDN/>
              <w:bidi w:val="0"/>
              <w:adjustRightInd/>
              <w:snapToGrid/>
              <w:spacing w:line="240" w:lineRule="auto"/>
              <w:jc w:val="center"/>
              <w:rPr>
                <w:rFonts w:hint="eastAsia" w:ascii="仿宋_GB2312" w:hAnsi="仿宋_GB2312" w:eastAsia="仿宋_GB2312" w:cs="仿宋_GB2312"/>
                <w:b/>
                <w:bCs/>
                <w:sz w:val="24"/>
                <w:szCs w:val="24"/>
                <w:highlight w:val="none"/>
                <w:lang w:val="en-US" w:eastAsia="zh-CN"/>
              </w:rPr>
            </w:pPr>
            <w:r>
              <w:rPr>
                <w:rFonts w:hint="eastAsia" w:ascii="仿宋_GB2312" w:hAnsi="仿宋_GB2312" w:eastAsia="仿宋_GB2312" w:cs="仿宋_GB2312"/>
                <w:b/>
                <w:bCs/>
                <w:sz w:val="24"/>
                <w:szCs w:val="24"/>
                <w:highlight w:val="none"/>
                <w:lang w:val="en-US" w:eastAsia="zh-CN"/>
              </w:rPr>
              <w:t>2024年</w:t>
            </w:r>
          </w:p>
          <w:p w14:paraId="79B31676">
            <w:pPr>
              <w:pStyle w:val="20"/>
              <w:pageBreakBefore w:val="0"/>
              <w:shd w:val="clear"/>
              <w:kinsoku/>
              <w:wordWrap/>
              <w:overflowPunct/>
              <w:topLinePunct w:val="0"/>
              <w:autoSpaceDE/>
              <w:autoSpaceDN/>
              <w:bidi w:val="0"/>
              <w:adjustRightInd/>
              <w:snapToGrid/>
              <w:spacing w:line="240" w:lineRule="auto"/>
              <w:jc w:val="center"/>
              <w:rPr>
                <w:rFonts w:hint="eastAsia" w:ascii="仿宋_GB2312" w:hAnsi="仿宋_GB2312" w:eastAsia="仿宋_GB2312" w:cs="仿宋_GB2312"/>
                <w:b/>
                <w:bCs/>
                <w:sz w:val="24"/>
                <w:szCs w:val="24"/>
                <w:highlight w:val="none"/>
                <w:lang w:val="en-US"/>
              </w:rPr>
            </w:pPr>
            <w:r>
              <w:rPr>
                <w:rFonts w:hint="eastAsia" w:ascii="仿宋_GB2312" w:hAnsi="仿宋_GB2312" w:eastAsia="仿宋_GB2312" w:cs="仿宋_GB2312"/>
                <w:b/>
                <w:bCs/>
                <w:sz w:val="24"/>
                <w:szCs w:val="24"/>
                <w:highlight w:val="none"/>
                <w:lang w:val="en-US" w:eastAsia="zh-CN"/>
              </w:rPr>
              <w:t>上半年</w:t>
            </w:r>
          </w:p>
        </w:tc>
      </w:tr>
      <w:tr w14:paraId="6C255F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jc w:val="center"/>
        </w:trPr>
        <w:tc>
          <w:tcPr>
            <w:tcW w:w="39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8C30AF">
            <w:pPr>
              <w:pStyle w:val="20"/>
              <w:pageBreakBefore w:val="0"/>
              <w:shd w:val="clear"/>
              <w:kinsoku/>
              <w:wordWrap/>
              <w:overflowPunct/>
              <w:topLinePunct w:val="0"/>
              <w:autoSpaceDE/>
              <w:autoSpaceDN/>
              <w:bidi w:val="0"/>
              <w:adjustRightInd/>
              <w:snapToGrid/>
              <w:spacing w:line="560" w:lineRule="exact"/>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b/>
                <w:bCs/>
                <w:sz w:val="24"/>
                <w:szCs w:val="24"/>
                <w:highlight w:val="none"/>
                <w:lang w:val="en-US" w:eastAsia="zh-CN"/>
              </w:rPr>
              <w:t>工业</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92867B">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1.83</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4DB966">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3.82</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45ED49">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4.29</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F474AC">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3.31</w:t>
            </w:r>
          </w:p>
        </w:tc>
      </w:tr>
      <w:tr w14:paraId="10E43D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jc w:val="center"/>
        </w:trPr>
        <w:tc>
          <w:tcPr>
            <w:tcW w:w="39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A83A28">
            <w:pPr>
              <w:pStyle w:val="20"/>
              <w:pageBreakBefore w:val="0"/>
              <w:shd w:val="clear"/>
              <w:kinsoku/>
              <w:wordWrap/>
              <w:overflowPunct/>
              <w:topLinePunct w:val="0"/>
              <w:autoSpaceDE/>
              <w:autoSpaceDN/>
              <w:bidi w:val="0"/>
              <w:adjustRightInd/>
              <w:snapToGrid/>
              <w:spacing w:line="560" w:lineRule="exact"/>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lang w:val="en-US" w:eastAsia="zh-CN"/>
              </w:rPr>
              <w:t>建筑业</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DEEFE0">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i w:val="0"/>
                <w:iCs w:val="0"/>
                <w:color w:val="000000"/>
                <w:kern w:val="0"/>
                <w:sz w:val="24"/>
                <w:szCs w:val="24"/>
                <w:highlight w:val="none"/>
                <w:u w:val="none"/>
                <w:lang w:val="en-US" w:eastAsia="zh-CN" w:bidi="ar"/>
              </w:rPr>
              <w:t>5.65</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1F395">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i w:val="0"/>
                <w:iCs w:val="0"/>
                <w:color w:val="000000"/>
                <w:kern w:val="0"/>
                <w:sz w:val="24"/>
                <w:szCs w:val="24"/>
                <w:highlight w:val="none"/>
                <w:u w:val="none"/>
                <w:lang w:val="en-US" w:eastAsia="zh-CN" w:bidi="ar"/>
              </w:rPr>
              <w:t>0.18</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CE8C87">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i w:val="0"/>
                <w:iCs w:val="0"/>
                <w:color w:val="000000"/>
                <w:kern w:val="0"/>
                <w:sz w:val="24"/>
                <w:szCs w:val="24"/>
                <w:highlight w:val="none"/>
                <w:u w:val="none"/>
                <w:lang w:val="en-US" w:eastAsia="zh-CN" w:bidi="ar"/>
              </w:rPr>
              <w:t>0.98</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1E3B22">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i w:val="0"/>
                <w:iCs w:val="0"/>
                <w:color w:val="000000"/>
                <w:kern w:val="0"/>
                <w:sz w:val="24"/>
                <w:szCs w:val="24"/>
                <w:highlight w:val="none"/>
                <w:u w:val="none"/>
                <w:lang w:val="en-US" w:eastAsia="zh-CN" w:bidi="ar"/>
              </w:rPr>
              <w:t>-0.40</w:t>
            </w:r>
          </w:p>
        </w:tc>
      </w:tr>
      <w:tr w14:paraId="25E447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jc w:val="center"/>
        </w:trPr>
        <w:tc>
          <w:tcPr>
            <w:tcW w:w="39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56598">
            <w:pPr>
              <w:pStyle w:val="20"/>
              <w:pageBreakBefore w:val="0"/>
              <w:shd w:val="clear"/>
              <w:kinsoku/>
              <w:wordWrap/>
              <w:overflowPunct/>
              <w:topLinePunct w:val="0"/>
              <w:autoSpaceDE/>
              <w:autoSpaceDN/>
              <w:bidi w:val="0"/>
              <w:adjustRightInd/>
              <w:snapToGrid/>
              <w:spacing w:line="560" w:lineRule="exact"/>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lang w:val="en-US" w:eastAsia="zh-CN"/>
              </w:rPr>
              <w:t>交通运输、仓储和邮政业</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0C4774">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i w:val="0"/>
                <w:iCs w:val="0"/>
                <w:color w:val="000000"/>
                <w:kern w:val="0"/>
                <w:sz w:val="24"/>
                <w:szCs w:val="24"/>
                <w:highlight w:val="none"/>
                <w:u w:val="none"/>
                <w:lang w:val="en-US" w:eastAsia="zh-CN" w:bidi="ar"/>
              </w:rPr>
              <w:t>2.66</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04FE0B">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i w:val="0"/>
                <w:iCs w:val="0"/>
                <w:color w:val="000000"/>
                <w:kern w:val="0"/>
                <w:sz w:val="24"/>
                <w:szCs w:val="24"/>
                <w:highlight w:val="none"/>
                <w:u w:val="none"/>
                <w:lang w:val="en-US" w:eastAsia="zh-CN" w:bidi="ar"/>
              </w:rPr>
              <w:t>-0.88</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BAF0F3">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i w:val="0"/>
                <w:iCs w:val="0"/>
                <w:color w:val="000000"/>
                <w:kern w:val="0"/>
                <w:sz w:val="24"/>
                <w:szCs w:val="24"/>
                <w:highlight w:val="none"/>
                <w:u w:val="none"/>
                <w:lang w:val="en-US" w:eastAsia="zh-CN" w:bidi="ar"/>
              </w:rPr>
              <w:t>0.86</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994E0F">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i w:val="0"/>
                <w:iCs w:val="0"/>
                <w:color w:val="000000"/>
                <w:kern w:val="0"/>
                <w:sz w:val="24"/>
                <w:szCs w:val="24"/>
                <w:highlight w:val="none"/>
                <w:u w:val="none"/>
                <w:lang w:val="en-US" w:eastAsia="zh-CN" w:bidi="ar"/>
              </w:rPr>
              <w:t>0.62</w:t>
            </w:r>
          </w:p>
        </w:tc>
      </w:tr>
      <w:tr w14:paraId="1D46E8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jc w:val="center"/>
        </w:trPr>
        <w:tc>
          <w:tcPr>
            <w:tcW w:w="39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AB29B8">
            <w:pPr>
              <w:pStyle w:val="20"/>
              <w:pageBreakBefore w:val="0"/>
              <w:shd w:val="clear"/>
              <w:kinsoku/>
              <w:wordWrap/>
              <w:overflowPunct/>
              <w:topLinePunct w:val="0"/>
              <w:autoSpaceDE/>
              <w:autoSpaceDN/>
              <w:bidi w:val="0"/>
              <w:adjustRightInd/>
              <w:snapToGrid/>
              <w:spacing w:line="560" w:lineRule="exact"/>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b/>
                <w:bCs/>
                <w:sz w:val="24"/>
                <w:szCs w:val="24"/>
                <w:highlight w:val="none"/>
                <w:lang w:val="en-US" w:eastAsia="zh-CN"/>
              </w:rPr>
              <w:t>信息传输、软件和信息技术服务业</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B98A1F">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2.12</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1D921C">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-2.37</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94650">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1.23</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0EF796">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0.49</w:t>
            </w:r>
          </w:p>
        </w:tc>
      </w:tr>
      <w:tr w14:paraId="4B55B9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jc w:val="center"/>
        </w:trPr>
        <w:tc>
          <w:tcPr>
            <w:tcW w:w="39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33017C">
            <w:pPr>
              <w:pStyle w:val="20"/>
              <w:pageBreakBefore w:val="0"/>
              <w:shd w:val="clear"/>
              <w:kinsoku/>
              <w:wordWrap/>
              <w:overflowPunct/>
              <w:topLinePunct w:val="0"/>
              <w:autoSpaceDE/>
              <w:autoSpaceDN/>
              <w:bidi w:val="0"/>
              <w:adjustRightInd/>
              <w:snapToGrid/>
              <w:spacing w:line="560" w:lineRule="exact"/>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b/>
                <w:bCs/>
                <w:sz w:val="24"/>
                <w:szCs w:val="24"/>
                <w:highlight w:val="none"/>
                <w:lang w:val="en-US" w:eastAsia="zh-CN"/>
              </w:rPr>
              <w:t>批发和零售业</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6A4B6A">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1.53</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ACD5FB">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0.76</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6A07B4">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4.47</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D3745A">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-0.74</w:t>
            </w:r>
          </w:p>
        </w:tc>
      </w:tr>
      <w:tr w14:paraId="43E7D0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jc w:val="center"/>
        </w:trPr>
        <w:tc>
          <w:tcPr>
            <w:tcW w:w="39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0FE41">
            <w:pPr>
              <w:pStyle w:val="20"/>
              <w:pageBreakBefore w:val="0"/>
              <w:shd w:val="clear"/>
              <w:kinsoku/>
              <w:wordWrap/>
              <w:overflowPunct/>
              <w:topLinePunct w:val="0"/>
              <w:autoSpaceDE/>
              <w:autoSpaceDN/>
              <w:bidi w:val="0"/>
              <w:adjustRightInd/>
              <w:snapToGrid/>
              <w:spacing w:line="560" w:lineRule="exact"/>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lang w:val="en-US" w:eastAsia="zh-CN"/>
              </w:rPr>
              <w:t>住宿和餐饮业</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CCE6A">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i w:val="0"/>
                <w:iCs w:val="0"/>
                <w:color w:val="000000"/>
                <w:kern w:val="0"/>
                <w:sz w:val="24"/>
                <w:szCs w:val="24"/>
                <w:highlight w:val="none"/>
                <w:u w:val="none"/>
                <w:lang w:val="en-US" w:eastAsia="zh-CN" w:bidi="ar"/>
              </w:rPr>
              <w:t>1.15</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ACE7A7">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i w:val="0"/>
                <w:iCs w:val="0"/>
                <w:color w:val="000000"/>
                <w:kern w:val="0"/>
                <w:sz w:val="24"/>
                <w:szCs w:val="24"/>
                <w:highlight w:val="none"/>
                <w:u w:val="none"/>
                <w:lang w:val="en-US" w:eastAsia="zh-CN" w:bidi="ar"/>
              </w:rPr>
              <w:t>0.39</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9EC1C6">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i w:val="0"/>
                <w:iCs w:val="0"/>
                <w:color w:val="000000"/>
                <w:kern w:val="0"/>
                <w:sz w:val="24"/>
                <w:szCs w:val="24"/>
                <w:highlight w:val="none"/>
                <w:u w:val="none"/>
                <w:lang w:val="en-US" w:eastAsia="zh-CN" w:bidi="ar"/>
              </w:rPr>
              <w:t>1.20</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00BAA9">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i w:val="0"/>
                <w:iCs w:val="0"/>
                <w:color w:val="000000"/>
                <w:kern w:val="0"/>
                <w:sz w:val="24"/>
                <w:szCs w:val="24"/>
                <w:highlight w:val="none"/>
                <w:u w:val="none"/>
                <w:lang w:val="en-US" w:eastAsia="zh-CN" w:bidi="ar"/>
              </w:rPr>
              <w:t>-6.77</w:t>
            </w:r>
          </w:p>
        </w:tc>
      </w:tr>
      <w:tr w14:paraId="22A21C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jc w:val="center"/>
        </w:trPr>
        <w:tc>
          <w:tcPr>
            <w:tcW w:w="39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CBC886">
            <w:pPr>
              <w:pStyle w:val="20"/>
              <w:pageBreakBefore w:val="0"/>
              <w:shd w:val="clear"/>
              <w:kinsoku/>
              <w:wordWrap/>
              <w:overflowPunct/>
              <w:topLinePunct w:val="0"/>
              <w:autoSpaceDE/>
              <w:autoSpaceDN/>
              <w:bidi w:val="0"/>
              <w:adjustRightInd/>
              <w:snapToGrid/>
              <w:spacing w:line="560" w:lineRule="exact"/>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b/>
                <w:bCs/>
                <w:sz w:val="24"/>
                <w:szCs w:val="24"/>
                <w:highlight w:val="none"/>
                <w:lang w:val="en-US" w:eastAsia="zh-CN"/>
              </w:rPr>
              <w:t>金融业</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6AB514">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0.54</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759919">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-1.27</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6D3F8">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1.74</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350FD5">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1.02</w:t>
            </w:r>
          </w:p>
        </w:tc>
      </w:tr>
      <w:tr w14:paraId="21C00A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jc w:val="center"/>
        </w:trPr>
        <w:tc>
          <w:tcPr>
            <w:tcW w:w="39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7AE474">
            <w:pPr>
              <w:pStyle w:val="20"/>
              <w:pageBreakBefore w:val="0"/>
              <w:shd w:val="clear"/>
              <w:kinsoku/>
              <w:wordWrap/>
              <w:overflowPunct/>
              <w:topLinePunct w:val="0"/>
              <w:autoSpaceDE/>
              <w:autoSpaceDN/>
              <w:bidi w:val="0"/>
              <w:adjustRightInd/>
              <w:snapToGrid/>
              <w:spacing w:line="560" w:lineRule="exact"/>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b/>
                <w:bCs/>
                <w:sz w:val="24"/>
                <w:szCs w:val="24"/>
                <w:highlight w:val="none"/>
                <w:lang w:val="en-US" w:eastAsia="zh-CN"/>
              </w:rPr>
              <w:t>房地产业</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ED7A29">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15.82</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B8077D">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-9.93</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8ABEE3">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-40.00</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F2B56D">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i w:val="0"/>
                <w:iCs w:val="0"/>
                <w:color w:val="000000"/>
                <w:kern w:val="0"/>
                <w:sz w:val="24"/>
                <w:szCs w:val="24"/>
                <w:highlight w:val="none"/>
                <w:u w:val="none"/>
                <w:lang w:val="en-US" w:eastAsia="zh-CN" w:bidi="ar"/>
              </w:rPr>
              <w:t>2.98</w:t>
            </w:r>
          </w:p>
        </w:tc>
      </w:tr>
      <w:tr w14:paraId="4D2F29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jc w:val="center"/>
        </w:trPr>
        <w:tc>
          <w:tcPr>
            <w:tcW w:w="39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482BDE">
            <w:pPr>
              <w:pStyle w:val="20"/>
              <w:pageBreakBefore w:val="0"/>
              <w:shd w:val="clear"/>
              <w:kinsoku/>
              <w:wordWrap/>
              <w:overflowPunct/>
              <w:topLinePunct w:val="0"/>
              <w:autoSpaceDE/>
              <w:autoSpaceDN/>
              <w:bidi w:val="0"/>
              <w:adjustRightInd/>
              <w:snapToGrid/>
              <w:spacing w:line="560" w:lineRule="exact"/>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lang w:val="en-US" w:eastAsia="zh-CN"/>
              </w:rPr>
              <w:t>租赁和商务服务业</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C0F40A">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i w:val="0"/>
                <w:iCs w:val="0"/>
                <w:color w:val="000000"/>
                <w:kern w:val="0"/>
                <w:sz w:val="24"/>
                <w:szCs w:val="24"/>
                <w:highlight w:val="none"/>
                <w:u w:val="none"/>
                <w:lang w:val="en-US" w:eastAsia="zh-CN" w:bidi="ar"/>
              </w:rPr>
              <w:t>4.23</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D906D7">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i w:val="0"/>
                <w:iCs w:val="0"/>
                <w:color w:val="000000"/>
                <w:kern w:val="0"/>
                <w:sz w:val="24"/>
                <w:szCs w:val="24"/>
                <w:highlight w:val="none"/>
                <w:u w:val="none"/>
                <w:lang w:val="en-US" w:eastAsia="zh-CN" w:bidi="ar"/>
              </w:rPr>
              <w:t>-46.79</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67E43">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i w:val="0"/>
                <w:iCs w:val="0"/>
                <w:color w:val="000000"/>
                <w:kern w:val="0"/>
                <w:sz w:val="24"/>
                <w:szCs w:val="24"/>
                <w:highlight w:val="none"/>
                <w:u w:val="none"/>
                <w:lang w:val="en-US" w:eastAsia="zh-CN" w:bidi="ar"/>
              </w:rPr>
              <w:t>6.68</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29E711">
            <w:pPr>
              <w:keepNext w:val="0"/>
              <w:keepLines w:val="0"/>
              <w:widowControl/>
              <w:suppressLineNumbers w:val="0"/>
              <w:shd w:val="clear"/>
              <w:spacing w:line="240" w:lineRule="auto"/>
              <w:ind w:firstLine="0" w:firstLineChars="0"/>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i w:val="0"/>
                <w:iCs w:val="0"/>
                <w:color w:val="000000"/>
                <w:kern w:val="0"/>
                <w:sz w:val="24"/>
                <w:szCs w:val="24"/>
                <w:highlight w:val="none"/>
                <w:u w:val="none"/>
                <w:lang w:val="en-US" w:eastAsia="zh-CN" w:bidi="ar"/>
              </w:rPr>
              <w:t>2.28</w:t>
            </w:r>
          </w:p>
        </w:tc>
      </w:tr>
    </w:tbl>
    <w:p w14:paraId="4DCF5283">
      <w:pPr>
        <w:pageBreakBefore w:val="0"/>
        <w:shd w:val="clear"/>
        <w:kinsoku/>
        <w:wordWrap/>
        <w:overflowPunct/>
        <w:topLinePunct w:val="0"/>
        <w:autoSpaceDE/>
        <w:autoSpaceDN/>
        <w:bidi w:val="0"/>
        <w:adjustRightInd/>
        <w:snapToGrid/>
        <w:spacing w:line="560" w:lineRule="exact"/>
        <w:rPr>
          <w:rFonts w:hint="default"/>
          <w:sz w:val="32"/>
          <w:szCs w:val="32"/>
          <w:highlight w:val="none"/>
          <w:lang w:val="en-US" w:eastAsia="zh-CN"/>
        </w:rPr>
      </w:pPr>
      <w:r>
        <w:rPr>
          <w:rFonts w:hint="eastAsia" w:ascii="楷体" w:hAnsi="楷体" w:eastAsia="楷体" w:cs="楷体"/>
          <w:b/>
          <w:bCs/>
          <w:sz w:val="32"/>
          <w:szCs w:val="32"/>
          <w:highlight w:val="none"/>
          <w:lang w:val="en-US" w:eastAsia="zh-CN"/>
        </w:rPr>
        <w:t>二产各行业中，工业电力消费弹性系数显著偏高。</w:t>
      </w:r>
      <w:r>
        <w:rPr>
          <w:rFonts w:hint="eastAsia"/>
          <w:sz w:val="32"/>
          <w:szCs w:val="32"/>
          <w:highlight w:val="none"/>
          <w:lang w:val="en-US" w:eastAsia="zh-CN"/>
        </w:rPr>
        <w:t>一方面，随着工业生产过程中电能对煤炭、燃油等传统能源的广泛替代，工业电气化水平显著提升，推动工业领域电力消费迅猛增长；另一方面，新兴产业的崛起，如光伏设备制造、新能源汽车制造、AI产业等，其生产过程中能耗较高，部分行业尚未形成稳定产值，拉高电力消费弹性系数水平。</w:t>
      </w:r>
    </w:p>
    <w:p w14:paraId="25A89E63">
      <w:pPr>
        <w:pageBreakBefore w:val="0"/>
        <w:shd w:val="clear"/>
        <w:kinsoku/>
        <w:wordWrap/>
        <w:overflowPunct/>
        <w:topLinePunct w:val="0"/>
        <w:autoSpaceDE/>
        <w:autoSpaceDN/>
        <w:bidi w:val="0"/>
        <w:adjustRightInd/>
        <w:snapToGrid/>
        <w:spacing w:line="560" w:lineRule="exact"/>
        <w:rPr>
          <w:rFonts w:hint="default"/>
          <w:sz w:val="32"/>
          <w:szCs w:val="32"/>
          <w:highlight w:val="none"/>
          <w:lang w:val="en-US" w:eastAsia="zh-CN"/>
        </w:rPr>
      </w:pPr>
      <w:r>
        <w:rPr>
          <w:rFonts w:hint="eastAsia" w:ascii="楷体" w:hAnsi="楷体" w:eastAsia="楷体" w:cs="楷体"/>
          <w:b/>
          <w:bCs/>
          <w:sz w:val="32"/>
          <w:szCs w:val="32"/>
          <w:highlight w:val="none"/>
          <w:lang w:val="en-US" w:eastAsia="zh-CN"/>
        </w:rPr>
        <w:t>从规上企业看，二产制造业总产值前10大细分行业中，</w:t>
      </w:r>
      <w:r>
        <w:rPr>
          <w:rFonts w:hint="eastAsia"/>
          <w:b w:val="0"/>
          <w:bCs w:val="0"/>
          <w:sz w:val="32"/>
          <w:szCs w:val="32"/>
          <w:highlight w:val="none"/>
          <w:lang w:val="en-US" w:eastAsia="zh-CN"/>
        </w:rPr>
        <w:t>“石</w:t>
      </w:r>
      <w:r>
        <w:rPr>
          <w:rFonts w:hint="eastAsia"/>
          <w:sz w:val="32"/>
          <w:szCs w:val="32"/>
          <w:highlight w:val="none"/>
          <w:lang w:val="en-US" w:eastAsia="zh-CN"/>
        </w:rPr>
        <w:t>油、煤炭及其他燃料加工业”电力消费弹性系数超过3，且产值占比较大；“计算机、通信和其他电子设备制造业”售电量同比增长，产值同比下降，主要由于微型计算机设备、智能手机等产品产量下滑所致。该两大行业是导致二产整体电力消费弹性系数处于较高水平的主要原因。</w:t>
      </w:r>
    </w:p>
    <w:p w14:paraId="54B11225">
      <w:pPr>
        <w:pStyle w:val="7"/>
        <w:numPr>
          <w:ilvl w:val="0"/>
          <w:numId w:val="0"/>
        </w:numPr>
        <w:shd w:val="clear"/>
        <w:bidi w:val="0"/>
        <w:spacing w:line="240" w:lineRule="auto"/>
        <w:ind w:firstLine="0" w:firstLineChars="0"/>
        <w:jc w:val="center"/>
        <w:rPr>
          <w:rFonts w:hint="eastAsia" w:ascii="仿宋_GB2312" w:hAnsi="仿宋_GB2312" w:eastAsia="仿宋_GB2312" w:cstheme="minorBidi"/>
          <w:b/>
          <w:bCs/>
          <w:kern w:val="2"/>
          <w:sz w:val="21"/>
          <w:szCs w:val="21"/>
          <w:highlight w:val="none"/>
          <w:lang w:val="en-US" w:eastAsia="zh-CN" w:bidi="ar-SA"/>
        </w:rPr>
      </w:pPr>
      <w:r>
        <w:rPr>
          <w:rFonts w:hint="eastAsia" w:ascii="仿宋_GB2312" w:hAnsi="仿宋_GB2312" w:eastAsia="仿宋_GB2312" w:cstheme="minorBidi"/>
          <w:b/>
          <w:bCs/>
          <w:kern w:val="2"/>
          <w:sz w:val="21"/>
          <w:szCs w:val="21"/>
          <w:highlight w:val="none"/>
          <w:lang w:val="en-US" w:eastAsia="zh-CN" w:bidi="ar-SA"/>
        </w:rPr>
        <w:drawing>
          <wp:anchor distT="0" distB="0" distL="114300" distR="114300" simplePos="0" relativeHeight="251660288" behindDoc="0" locked="0" layoutInCell="1" allowOverlap="1">
            <wp:simplePos x="0" y="0"/>
            <wp:positionH relativeFrom="column">
              <wp:posOffset>19050</wp:posOffset>
            </wp:positionH>
            <wp:positionV relativeFrom="paragraph">
              <wp:posOffset>14605</wp:posOffset>
            </wp:positionV>
            <wp:extent cx="5273675" cy="2202180"/>
            <wp:effectExtent l="5080" t="4445" r="4445" b="15875"/>
            <wp:wrapSquare wrapText="bothSides"/>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rFonts w:hint="eastAsia" w:ascii="仿宋_GB2312" w:hAnsi="仿宋_GB2312" w:eastAsia="仿宋_GB2312" w:cstheme="minorBidi"/>
          <w:b/>
          <w:bCs/>
          <w:kern w:val="2"/>
          <w:sz w:val="21"/>
          <w:szCs w:val="21"/>
          <w:highlight w:val="none"/>
          <w:lang w:val="en-US" w:eastAsia="zh-CN" w:bidi="ar-SA"/>
        </w:rPr>
        <w:t>图</w:t>
      </w:r>
      <w:r>
        <w:rPr>
          <w:rFonts w:hint="eastAsia" w:ascii="仿宋_GB2312" w:hAnsi="仿宋_GB2312" w:eastAsia="仿宋_GB2312" w:cstheme="minorBidi"/>
          <w:b/>
          <w:bCs/>
          <w:kern w:val="2"/>
          <w:sz w:val="21"/>
          <w:szCs w:val="21"/>
          <w:highlight w:val="none"/>
          <w:lang w:val="en-US" w:eastAsia="zh-CN" w:bidi="ar-SA"/>
        </w:rPr>
        <w:fldChar w:fldCharType="begin"/>
      </w:r>
      <w:r>
        <w:rPr>
          <w:rFonts w:hint="eastAsia" w:ascii="仿宋_GB2312" w:hAnsi="仿宋_GB2312" w:eastAsia="仿宋_GB2312" w:cstheme="minorBidi"/>
          <w:b/>
          <w:bCs/>
          <w:kern w:val="2"/>
          <w:sz w:val="21"/>
          <w:szCs w:val="21"/>
          <w:highlight w:val="none"/>
          <w:lang w:val="en-US" w:eastAsia="zh-CN" w:bidi="ar-SA"/>
        </w:rPr>
        <w:instrText xml:space="preserve"> SEQ 图 \* ARABIC </w:instrText>
      </w:r>
      <w:r>
        <w:rPr>
          <w:rFonts w:hint="eastAsia" w:ascii="仿宋_GB2312" w:hAnsi="仿宋_GB2312" w:eastAsia="仿宋_GB2312" w:cstheme="minorBidi"/>
          <w:b/>
          <w:bCs/>
          <w:kern w:val="2"/>
          <w:sz w:val="21"/>
          <w:szCs w:val="21"/>
          <w:highlight w:val="none"/>
          <w:lang w:val="en-US" w:eastAsia="zh-CN" w:bidi="ar-SA"/>
        </w:rPr>
        <w:fldChar w:fldCharType="separate"/>
      </w:r>
      <w:r>
        <w:rPr>
          <w:rFonts w:hint="eastAsia" w:ascii="仿宋_GB2312" w:hAnsi="仿宋_GB2312" w:eastAsia="仿宋_GB2312" w:cstheme="minorBidi"/>
          <w:b/>
          <w:bCs/>
          <w:kern w:val="2"/>
          <w:sz w:val="21"/>
          <w:szCs w:val="21"/>
          <w:highlight w:val="none"/>
          <w:lang w:val="en-US" w:eastAsia="zh-CN" w:bidi="ar-SA"/>
        </w:rPr>
        <w:t>9</w:t>
      </w:r>
      <w:r>
        <w:rPr>
          <w:rFonts w:hint="eastAsia" w:ascii="仿宋_GB2312" w:hAnsi="仿宋_GB2312" w:eastAsia="仿宋_GB2312" w:cstheme="minorBidi"/>
          <w:b/>
          <w:bCs/>
          <w:kern w:val="2"/>
          <w:sz w:val="21"/>
          <w:szCs w:val="21"/>
          <w:highlight w:val="none"/>
          <w:lang w:val="en-US" w:eastAsia="zh-CN" w:bidi="ar-SA"/>
        </w:rPr>
        <w:fldChar w:fldCharType="end"/>
      </w:r>
      <w:r>
        <w:rPr>
          <w:rFonts w:hint="eastAsia" w:ascii="仿宋_GB2312" w:hAnsi="仿宋_GB2312" w:eastAsia="仿宋_GB2312" w:cstheme="minorBidi"/>
          <w:b/>
          <w:bCs/>
          <w:kern w:val="2"/>
          <w:sz w:val="21"/>
          <w:szCs w:val="21"/>
          <w:highlight w:val="none"/>
          <w:lang w:val="en-US" w:eastAsia="zh-CN" w:bidi="ar-SA"/>
        </w:rPr>
        <w:t xml:space="preserve">  2024年上半年制造业总产值前10大细分行业规上企业电力消费弹性系数</w:t>
      </w:r>
    </w:p>
    <w:p w14:paraId="58DDBD08">
      <w:pPr>
        <w:keepNext/>
        <w:keepLines/>
        <w:pageBreakBefore w:val="0"/>
        <w:widowControl w:val="0"/>
        <w:numPr>
          <w:ilvl w:val="0"/>
          <w:numId w:val="0"/>
        </w:numPr>
        <w:shd w:val="clear"/>
        <w:kinsoku/>
        <w:wordWrap/>
        <w:overflowPunct/>
        <w:topLinePunct w:val="0"/>
        <w:autoSpaceDE/>
        <w:autoSpaceDN/>
        <w:bidi w:val="0"/>
        <w:adjustRightInd/>
        <w:snapToGrid/>
        <w:spacing w:line="560" w:lineRule="exact"/>
        <w:ind w:firstLine="643" w:firstLineChars="200"/>
        <w:textAlignment w:val="auto"/>
        <w:outlineLvl w:val="9"/>
        <w:rPr>
          <w:rFonts w:hint="eastAsia" w:ascii="仿宋_GB2312" w:hAnsi="仿宋_GB2312" w:eastAsia="仿宋_GB2312" w:cstheme="minorBidi"/>
          <w:b/>
          <w:bCs/>
          <w:kern w:val="2"/>
          <w:sz w:val="21"/>
          <w:szCs w:val="21"/>
          <w:highlight w:val="none"/>
          <w:lang w:val="en-US" w:eastAsia="zh-CN" w:bidi="ar-SA"/>
        </w:rPr>
      </w:pPr>
      <w:r>
        <w:rPr>
          <w:rFonts w:hint="eastAsia" w:ascii="楷体" w:hAnsi="楷体" w:eastAsia="楷体" w:cs="楷体"/>
          <w:b/>
          <w:bCs/>
          <w:sz w:val="32"/>
          <w:szCs w:val="32"/>
          <w:highlight w:val="none"/>
          <w:lang w:val="en-US" w:eastAsia="zh-CN"/>
        </w:rPr>
        <w:t>三产各行业中，</w:t>
      </w:r>
      <w:r>
        <w:rPr>
          <w:rFonts w:hint="eastAsia" w:ascii="仿宋_GB2312" w:hAnsi="仿宋_GB2312" w:eastAsia="仿宋_GB2312" w:cstheme="minorBidi"/>
          <w:b w:val="0"/>
          <w:bCs w:val="0"/>
          <w:kern w:val="2"/>
          <w:sz w:val="32"/>
          <w:szCs w:val="32"/>
          <w:highlight w:val="none"/>
          <w:lang w:val="en-US" w:eastAsia="zh-CN" w:bidi="ar-SA"/>
        </w:rPr>
        <w:t>“房地产业”“租赁和商务服务业”售电量增幅高于产业增加值增幅，</w:t>
      </w:r>
      <w:r>
        <w:rPr>
          <w:rFonts w:hint="eastAsia" w:eastAsia="仿宋_GB2312" w:cstheme="minorBidi"/>
          <w:b w:val="0"/>
          <w:bCs w:val="0"/>
          <w:kern w:val="2"/>
          <w:sz w:val="32"/>
          <w:szCs w:val="32"/>
          <w:highlight w:val="none"/>
          <w:lang w:val="en-US" w:eastAsia="zh-CN" w:bidi="ar-SA"/>
        </w:rPr>
        <w:t>主要由于</w:t>
      </w:r>
      <w:r>
        <w:rPr>
          <w:rFonts w:hint="eastAsia" w:ascii="仿宋_GB2312" w:hAnsi="仿宋_GB2312" w:eastAsia="仿宋_GB2312" w:cstheme="minorBidi"/>
          <w:b w:val="0"/>
          <w:bCs w:val="0"/>
          <w:kern w:val="2"/>
          <w:sz w:val="32"/>
          <w:szCs w:val="32"/>
          <w:highlight w:val="none"/>
          <w:lang w:val="en-US" w:eastAsia="zh-CN" w:bidi="ar-SA"/>
        </w:rPr>
        <w:t>空调负荷</w:t>
      </w:r>
      <w:r>
        <w:rPr>
          <w:rFonts w:hint="eastAsia" w:eastAsia="仿宋_GB2312" w:cstheme="minorBidi"/>
          <w:b w:val="0"/>
          <w:bCs w:val="0"/>
          <w:kern w:val="2"/>
          <w:sz w:val="32"/>
          <w:szCs w:val="32"/>
          <w:highlight w:val="none"/>
          <w:lang w:val="en-US" w:eastAsia="zh-CN" w:bidi="ar-SA"/>
        </w:rPr>
        <w:t>增长所致</w:t>
      </w:r>
      <w:r>
        <w:rPr>
          <w:rFonts w:hint="eastAsia" w:ascii="仿宋_GB2312" w:hAnsi="仿宋_GB2312" w:eastAsia="仿宋_GB2312" w:cstheme="minorBidi"/>
          <w:b w:val="0"/>
          <w:bCs w:val="0"/>
          <w:kern w:val="2"/>
          <w:sz w:val="32"/>
          <w:szCs w:val="32"/>
          <w:highlight w:val="none"/>
          <w:lang w:val="en-US" w:eastAsia="zh-CN" w:bidi="ar-SA"/>
        </w:rPr>
        <w:t>；“住宿</w:t>
      </w:r>
      <w:r>
        <w:rPr>
          <w:rFonts w:hint="eastAsia" w:eastAsia="仿宋_GB2312" w:cstheme="minorBidi"/>
          <w:b w:val="0"/>
          <w:bCs w:val="0"/>
          <w:kern w:val="2"/>
          <w:sz w:val="32"/>
          <w:szCs w:val="32"/>
          <w:highlight w:val="none"/>
          <w:lang w:val="en-US" w:eastAsia="zh-CN" w:bidi="ar-SA"/>
        </w:rPr>
        <w:t>和</w:t>
      </w:r>
      <w:r>
        <w:rPr>
          <w:rFonts w:hint="eastAsia" w:ascii="仿宋_GB2312" w:hAnsi="仿宋_GB2312" w:eastAsia="仿宋_GB2312" w:cstheme="minorBidi"/>
          <w:b w:val="0"/>
          <w:bCs w:val="0"/>
          <w:kern w:val="2"/>
          <w:sz w:val="32"/>
          <w:szCs w:val="32"/>
          <w:highlight w:val="none"/>
          <w:lang w:val="en-US" w:eastAsia="zh-CN" w:bidi="ar-SA"/>
        </w:rPr>
        <w:t>餐饮业”“批发</w:t>
      </w:r>
      <w:r>
        <w:rPr>
          <w:rFonts w:hint="eastAsia" w:eastAsia="仿宋_GB2312" w:cstheme="minorBidi"/>
          <w:b w:val="0"/>
          <w:bCs w:val="0"/>
          <w:kern w:val="2"/>
          <w:sz w:val="32"/>
          <w:szCs w:val="32"/>
          <w:highlight w:val="none"/>
          <w:lang w:val="en-US" w:eastAsia="zh-CN" w:bidi="ar-SA"/>
        </w:rPr>
        <w:t>和</w:t>
      </w:r>
      <w:r>
        <w:rPr>
          <w:rFonts w:hint="eastAsia" w:ascii="仿宋_GB2312" w:hAnsi="仿宋_GB2312" w:eastAsia="仿宋_GB2312" w:cstheme="minorBidi"/>
          <w:b w:val="0"/>
          <w:bCs w:val="0"/>
          <w:kern w:val="2"/>
          <w:sz w:val="32"/>
          <w:szCs w:val="32"/>
          <w:highlight w:val="none"/>
          <w:lang w:val="en-US" w:eastAsia="zh-CN" w:bidi="ar-SA"/>
        </w:rPr>
        <w:t>零售业”售电量同比增长，但产业增加值同比下降，</w:t>
      </w:r>
      <w:r>
        <w:rPr>
          <w:rFonts w:hint="eastAsia" w:eastAsia="仿宋_GB2312" w:cstheme="minorBidi"/>
          <w:b w:val="0"/>
          <w:bCs w:val="0"/>
          <w:kern w:val="2"/>
          <w:sz w:val="32"/>
          <w:szCs w:val="32"/>
          <w:highlight w:val="none"/>
          <w:lang w:val="en-US" w:eastAsia="zh-CN" w:bidi="ar-SA"/>
        </w:rPr>
        <w:t>则主要由于消费乏力，2024年上半年上海全市居民人均可支配收入同比增长4.4%，而人均消费支出仅同比增长0.7%。</w:t>
      </w:r>
    </w:p>
    <w:p w14:paraId="129DEBAD">
      <w:pPr>
        <w:pStyle w:val="7"/>
        <w:numPr>
          <w:ilvl w:val="0"/>
          <w:numId w:val="0"/>
        </w:numPr>
        <w:shd w:val="clear"/>
        <w:bidi w:val="0"/>
        <w:spacing w:line="240" w:lineRule="auto"/>
        <w:ind w:firstLine="0" w:firstLineChars="0"/>
        <w:jc w:val="center"/>
        <w:rPr>
          <w:rFonts w:hint="default" w:ascii="仿宋_GB2312" w:hAnsi="仿宋_GB2312" w:eastAsia="仿宋_GB2312" w:cstheme="minorBidi"/>
          <w:b/>
          <w:bCs/>
          <w:kern w:val="2"/>
          <w:sz w:val="21"/>
          <w:szCs w:val="21"/>
          <w:highlight w:val="none"/>
          <w:lang w:val="en-US" w:eastAsia="zh-CN" w:bidi="ar-SA"/>
        </w:rPr>
      </w:pPr>
      <w:r>
        <w:rPr>
          <w:rFonts w:hint="eastAsia" w:ascii="仿宋_GB2312" w:hAnsi="仿宋_GB2312" w:eastAsia="仿宋_GB2312" w:cstheme="minorBidi"/>
          <w:b/>
          <w:bCs/>
          <w:kern w:val="2"/>
          <w:sz w:val="21"/>
          <w:szCs w:val="21"/>
          <w:highlight w:val="none"/>
          <w:lang w:val="en-US" w:eastAsia="zh-CN" w:bidi="ar-SA"/>
        </w:rPr>
        <w:drawing>
          <wp:inline distT="0" distB="0" distL="114300" distR="114300">
            <wp:extent cx="5267960" cy="2147570"/>
            <wp:effectExtent l="4445" t="4445" r="10795" b="698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rFonts w:hint="eastAsia" w:ascii="仿宋_GB2312" w:hAnsi="仿宋_GB2312" w:eastAsia="仿宋_GB2312" w:cstheme="minorBidi"/>
          <w:b/>
          <w:bCs/>
          <w:kern w:val="2"/>
          <w:sz w:val="21"/>
          <w:szCs w:val="21"/>
          <w:highlight w:val="none"/>
          <w:lang w:val="en-US" w:eastAsia="zh-CN" w:bidi="ar-SA"/>
        </w:rPr>
        <w:t>图</w:t>
      </w:r>
      <w:r>
        <w:rPr>
          <w:rFonts w:hint="eastAsia" w:ascii="仿宋_GB2312" w:hAnsi="仿宋_GB2312" w:eastAsia="仿宋_GB2312" w:cstheme="minorBidi"/>
          <w:b/>
          <w:bCs/>
          <w:kern w:val="2"/>
          <w:sz w:val="21"/>
          <w:szCs w:val="21"/>
          <w:highlight w:val="none"/>
          <w:lang w:val="en-US" w:eastAsia="zh-CN" w:bidi="ar-SA"/>
        </w:rPr>
        <w:fldChar w:fldCharType="begin"/>
      </w:r>
      <w:r>
        <w:rPr>
          <w:rFonts w:hint="eastAsia" w:ascii="仿宋_GB2312" w:hAnsi="仿宋_GB2312" w:eastAsia="仿宋_GB2312" w:cstheme="minorBidi"/>
          <w:b/>
          <w:bCs/>
          <w:kern w:val="2"/>
          <w:sz w:val="21"/>
          <w:szCs w:val="21"/>
          <w:highlight w:val="none"/>
          <w:lang w:val="en-US" w:eastAsia="zh-CN" w:bidi="ar-SA"/>
        </w:rPr>
        <w:instrText xml:space="preserve"> SEQ 图 \* ARABIC </w:instrText>
      </w:r>
      <w:r>
        <w:rPr>
          <w:rFonts w:hint="eastAsia" w:ascii="仿宋_GB2312" w:hAnsi="仿宋_GB2312" w:eastAsia="仿宋_GB2312" w:cstheme="minorBidi"/>
          <w:b/>
          <w:bCs/>
          <w:kern w:val="2"/>
          <w:sz w:val="21"/>
          <w:szCs w:val="21"/>
          <w:highlight w:val="none"/>
          <w:lang w:val="en-US" w:eastAsia="zh-CN" w:bidi="ar-SA"/>
        </w:rPr>
        <w:fldChar w:fldCharType="separate"/>
      </w:r>
      <w:r>
        <w:rPr>
          <w:rFonts w:hint="eastAsia" w:ascii="仿宋_GB2312" w:hAnsi="仿宋_GB2312" w:eastAsia="仿宋_GB2312" w:cstheme="minorBidi"/>
          <w:b/>
          <w:bCs/>
          <w:kern w:val="2"/>
          <w:sz w:val="21"/>
          <w:szCs w:val="21"/>
          <w:highlight w:val="none"/>
          <w:lang w:val="en-US" w:eastAsia="zh-CN" w:bidi="ar-SA"/>
        </w:rPr>
        <w:t>10</w:t>
      </w:r>
      <w:r>
        <w:rPr>
          <w:rFonts w:hint="eastAsia" w:ascii="仿宋_GB2312" w:hAnsi="仿宋_GB2312" w:eastAsia="仿宋_GB2312" w:cstheme="minorBidi"/>
          <w:b/>
          <w:bCs/>
          <w:kern w:val="2"/>
          <w:sz w:val="21"/>
          <w:szCs w:val="21"/>
          <w:highlight w:val="none"/>
          <w:lang w:val="en-US" w:eastAsia="zh-CN" w:bidi="ar-SA"/>
        </w:rPr>
        <w:fldChar w:fldCharType="end"/>
      </w:r>
      <w:r>
        <w:rPr>
          <w:rFonts w:hint="eastAsia" w:ascii="仿宋_GB2312" w:hAnsi="仿宋_GB2312" w:eastAsia="仿宋_GB2312" w:cstheme="minorBidi"/>
          <w:b/>
          <w:bCs/>
          <w:kern w:val="2"/>
          <w:sz w:val="21"/>
          <w:szCs w:val="21"/>
          <w:highlight w:val="none"/>
          <w:lang w:val="en-US" w:eastAsia="zh-CN" w:bidi="ar-SA"/>
        </w:rPr>
        <w:t xml:space="preserve">  2024年三产各行业电力消费弹性系数</w:t>
      </w:r>
    </w:p>
    <w:p w14:paraId="5A7FF065">
      <w:pPr>
        <w:pStyle w:val="2"/>
        <w:keepNext/>
        <w:keepLines/>
        <w:pageBreakBefore w:val="0"/>
        <w:widowControl w:val="0"/>
        <w:numPr>
          <w:ilvl w:val="0"/>
          <w:numId w:val="5"/>
        </w:numPr>
        <w:shd w:val="clear"/>
        <w:kinsoku/>
        <w:wordWrap/>
        <w:overflowPunct/>
        <w:topLinePunct w:val="0"/>
        <w:autoSpaceDE/>
        <w:autoSpaceDN/>
        <w:bidi w:val="0"/>
        <w:adjustRightInd/>
        <w:snapToGrid/>
        <w:spacing w:line="560" w:lineRule="exact"/>
        <w:ind w:leftChars="0" w:firstLine="640" w:firstLineChars="200"/>
        <w:textAlignment w:val="auto"/>
        <w:rPr>
          <w:rFonts w:hint="default"/>
          <w:b w:val="0"/>
          <w:bCs w:val="0"/>
          <w:sz w:val="32"/>
          <w:szCs w:val="32"/>
          <w:highlight w:val="none"/>
          <w:lang w:val="en-US" w:eastAsia="zh-CN"/>
        </w:rPr>
      </w:pPr>
      <w:r>
        <w:rPr>
          <w:rFonts w:hint="eastAsia"/>
          <w:b w:val="0"/>
          <w:bCs w:val="0"/>
          <w:sz w:val="32"/>
          <w:szCs w:val="32"/>
          <w:highlight w:val="none"/>
          <w:lang w:val="en-US" w:eastAsia="zh-CN"/>
        </w:rPr>
        <w:t>电力消费弹性系数现状影响因素分析</w:t>
      </w:r>
    </w:p>
    <w:p w14:paraId="647C19B2">
      <w:pPr>
        <w:keepNext w:val="0"/>
        <w:keepLines w:val="0"/>
        <w:pageBreakBefore w:val="0"/>
        <w:widowControl w:val="0"/>
        <w:numPr>
          <w:ilvl w:val="0"/>
          <w:numId w:val="7"/>
        </w:numPr>
        <w:shd w:val="clear"/>
        <w:kinsoku/>
        <w:wordWrap/>
        <w:overflowPunct/>
        <w:topLinePunct w:val="0"/>
        <w:autoSpaceDE/>
        <w:autoSpaceDN/>
        <w:bidi w:val="0"/>
        <w:adjustRightInd/>
        <w:snapToGrid/>
        <w:spacing w:line="560" w:lineRule="exact"/>
        <w:ind w:left="0" w:leftChars="0" w:firstLine="643" w:firstLineChars="200"/>
        <w:textAlignment w:val="auto"/>
        <w:outlineLvl w:val="1"/>
        <w:rPr>
          <w:rFonts w:hint="default" w:ascii="楷体" w:hAnsi="楷体" w:eastAsia="楷体" w:cs="楷体"/>
          <w:b/>
          <w:bCs/>
          <w:sz w:val="32"/>
          <w:szCs w:val="32"/>
          <w:highlight w:val="none"/>
          <w:lang w:val="en-US" w:eastAsia="zh-CN"/>
        </w:rPr>
      </w:pPr>
      <w:r>
        <w:rPr>
          <w:rFonts w:hint="eastAsia" w:ascii="楷体" w:hAnsi="楷体" w:eastAsia="楷体" w:cs="楷体"/>
          <w:b/>
          <w:bCs/>
          <w:sz w:val="32"/>
          <w:szCs w:val="32"/>
          <w:highlight w:val="none"/>
          <w:lang w:val="en-US" w:eastAsia="zh-CN"/>
        </w:rPr>
        <w:t>调温负荷</w:t>
      </w:r>
    </w:p>
    <w:p w14:paraId="3DDBE84F">
      <w:pPr>
        <w:pageBreakBefore w:val="0"/>
        <w:shd w:val="clear"/>
        <w:kinsoku/>
        <w:wordWrap/>
        <w:overflowPunct/>
        <w:topLinePunct w:val="0"/>
        <w:autoSpaceDE/>
        <w:autoSpaceDN/>
        <w:bidi w:val="0"/>
        <w:adjustRightInd/>
        <w:snapToGrid/>
        <w:spacing w:after="0" w:line="560" w:lineRule="exact"/>
        <w:rPr>
          <w:rFonts w:hint="eastAsia"/>
          <w:sz w:val="32"/>
          <w:szCs w:val="32"/>
          <w:highlight w:val="none"/>
          <w:lang w:val="en-US" w:eastAsia="zh-CN"/>
        </w:rPr>
      </w:pPr>
      <w:r>
        <w:rPr>
          <w:rFonts w:hint="eastAsia" w:ascii="楷体" w:hAnsi="楷体" w:eastAsia="楷体" w:cs="楷体"/>
          <w:b/>
          <w:bCs/>
          <w:sz w:val="32"/>
          <w:szCs w:val="32"/>
          <w:highlight w:val="none"/>
          <w:lang w:val="en-US" w:eastAsia="zh-CN"/>
        </w:rPr>
        <w:t>调温负荷是能源消耗指标，直接导致售电量增加，但不一定会转化为GDP的同步增长。</w:t>
      </w:r>
      <w:r>
        <w:rPr>
          <w:rFonts w:hint="eastAsia"/>
          <w:sz w:val="32"/>
          <w:szCs w:val="32"/>
          <w:highlight w:val="none"/>
          <w:lang w:val="en-US" w:eastAsia="zh-CN"/>
        </w:rPr>
        <w:t>此外，</w:t>
      </w:r>
      <w:r>
        <w:rPr>
          <w:rFonts w:hint="eastAsia" w:ascii="楷体" w:hAnsi="楷体" w:eastAsia="楷体" w:cs="楷体"/>
          <w:b/>
          <w:bCs/>
          <w:sz w:val="32"/>
          <w:szCs w:val="32"/>
          <w:highlight w:val="none"/>
          <w:lang w:val="en-US" w:eastAsia="zh-CN"/>
        </w:rPr>
        <w:t>调温负荷对二产、三产影响存在差异</w:t>
      </w:r>
      <w:r>
        <w:rPr>
          <w:rFonts w:hint="eastAsia"/>
          <w:sz w:val="32"/>
          <w:szCs w:val="32"/>
          <w:highlight w:val="none"/>
          <w:lang w:val="en-US" w:eastAsia="zh-CN"/>
        </w:rPr>
        <w:t>。其中：二产调温负荷主要为满足工作场所温度、湿度等生产标准，在生产活动中不可或缺；相较而言，三产调温负荷更多地与提升顾客、员工舒适体验相关，对GDP直接贡献较小。</w:t>
      </w:r>
    </w:p>
    <w:p w14:paraId="059A2737">
      <w:pPr>
        <w:pageBreakBefore w:val="0"/>
        <w:shd w:val="clear"/>
        <w:kinsoku/>
        <w:wordWrap/>
        <w:overflowPunct/>
        <w:topLinePunct w:val="0"/>
        <w:autoSpaceDE/>
        <w:autoSpaceDN/>
        <w:bidi w:val="0"/>
        <w:adjustRightInd/>
        <w:snapToGrid/>
        <w:spacing w:after="0" w:line="560" w:lineRule="exact"/>
        <w:rPr>
          <w:rFonts w:hint="default"/>
          <w:sz w:val="32"/>
          <w:szCs w:val="32"/>
          <w:highlight w:val="none"/>
          <w:lang w:val="en-US" w:eastAsia="zh-CN"/>
        </w:rPr>
      </w:pPr>
      <w:r>
        <w:rPr>
          <w:rFonts w:hint="eastAsia"/>
          <w:sz w:val="32"/>
          <w:szCs w:val="32"/>
          <w:highlight w:val="none"/>
          <w:lang w:val="en-US" w:eastAsia="zh-CN"/>
        </w:rPr>
        <w:t>上海作为超大城市，人口密度大，商业、办公及生产等经济活动集中，对调温负荷需求更为突出。近年来，高温酷热、严寒天气频发,调温用电大幅增长，上海夏季空调负荷占比接近50%。2024年上半年，三产调温负荷同比增长36.24%，</w:t>
      </w:r>
      <w:bookmarkStart w:id="0" w:name="_GoBack"/>
      <w:bookmarkEnd w:id="0"/>
      <w:r>
        <w:rPr>
          <w:rFonts w:hint="eastAsia"/>
          <w:sz w:val="32"/>
          <w:szCs w:val="32"/>
          <w:highlight w:val="none"/>
          <w:lang w:val="en-US" w:eastAsia="zh-CN"/>
        </w:rPr>
        <w:t>剔除调温负荷影响后，三产电力消费弹性系数从1.38下降至0.97，整体弹性系数从1.15降至0.89，表明三产调温负荷是影响电力消费弹性系数的关键因素。</w:t>
      </w:r>
    </w:p>
    <w:p w14:paraId="4743073D">
      <w:pPr>
        <w:keepNext w:val="0"/>
        <w:keepLines w:val="0"/>
        <w:pageBreakBefore w:val="0"/>
        <w:widowControl w:val="0"/>
        <w:numPr>
          <w:ilvl w:val="0"/>
          <w:numId w:val="7"/>
        </w:numPr>
        <w:shd w:val="clear"/>
        <w:kinsoku/>
        <w:wordWrap/>
        <w:overflowPunct/>
        <w:topLinePunct w:val="0"/>
        <w:autoSpaceDE/>
        <w:autoSpaceDN/>
        <w:bidi w:val="0"/>
        <w:adjustRightInd/>
        <w:snapToGrid/>
        <w:spacing w:line="560" w:lineRule="exact"/>
        <w:ind w:left="0" w:leftChars="0" w:firstLine="643" w:firstLineChars="200"/>
        <w:textAlignment w:val="auto"/>
        <w:outlineLvl w:val="1"/>
        <w:rPr>
          <w:rFonts w:hint="eastAsia" w:ascii="楷体" w:hAnsi="楷体" w:eastAsia="楷体" w:cs="楷体"/>
          <w:b/>
          <w:bCs/>
          <w:sz w:val="32"/>
          <w:szCs w:val="32"/>
          <w:highlight w:val="none"/>
          <w:lang w:val="en-US" w:eastAsia="zh-CN"/>
        </w:rPr>
      </w:pPr>
      <w:r>
        <w:rPr>
          <w:rFonts w:hint="eastAsia" w:ascii="楷体" w:hAnsi="楷体" w:eastAsia="楷体" w:cs="楷体"/>
          <w:b/>
          <w:bCs/>
          <w:sz w:val="32"/>
          <w:szCs w:val="32"/>
          <w:highlight w:val="none"/>
          <w:lang w:val="en-US" w:eastAsia="zh-CN"/>
        </w:rPr>
        <w:t>电能替代——以汽车行业为例</w:t>
      </w:r>
    </w:p>
    <w:p w14:paraId="3AE50F32">
      <w:pPr>
        <w:pageBreakBefore w:val="0"/>
        <w:shd w:val="clear"/>
        <w:kinsoku/>
        <w:wordWrap/>
        <w:overflowPunct/>
        <w:topLinePunct w:val="0"/>
        <w:autoSpaceDE/>
        <w:autoSpaceDN/>
        <w:bidi w:val="0"/>
        <w:adjustRightInd/>
        <w:snapToGrid/>
        <w:spacing w:line="560" w:lineRule="exact"/>
        <w:rPr>
          <w:rFonts w:hint="eastAsia"/>
          <w:sz w:val="32"/>
          <w:szCs w:val="32"/>
          <w:highlight w:val="none"/>
          <w:lang w:val="en-US" w:eastAsia="zh-CN"/>
        </w:rPr>
      </w:pPr>
      <w:r>
        <w:rPr>
          <w:rFonts w:hint="eastAsia"/>
          <w:highlight w:val="none"/>
          <w:lang w:val="en-US" w:eastAsia="zh-CN"/>
        </w:rPr>
        <w:t>2016年，国家发改委等部门联合印发《关于推进电能替代的指导意见》，为全面推进电能替代提供政策依据。近年来，上海市积极推进</w:t>
      </w:r>
      <w:r>
        <w:rPr>
          <w:rFonts w:hint="eastAsia"/>
          <w:highlight w:val="none"/>
        </w:rPr>
        <w:t>用能方式转型升级，</w:t>
      </w:r>
      <w:r>
        <w:rPr>
          <w:rFonts w:hint="eastAsia"/>
          <w:highlight w:val="none"/>
          <w:lang w:val="en-US" w:eastAsia="zh-CN"/>
        </w:rPr>
        <w:t>在</w:t>
      </w:r>
      <w:r>
        <w:rPr>
          <w:rFonts w:hint="eastAsia"/>
          <w:highlight w:val="none"/>
        </w:rPr>
        <w:t>工业、建筑、交通等领域</w:t>
      </w:r>
      <w:r>
        <w:rPr>
          <w:rFonts w:hint="eastAsia"/>
          <w:highlight w:val="none"/>
          <w:lang w:val="en-US" w:eastAsia="zh-CN"/>
        </w:rPr>
        <w:t>实施</w:t>
      </w:r>
      <w:r>
        <w:rPr>
          <w:rFonts w:hint="eastAsia"/>
          <w:highlight w:val="none"/>
        </w:rPr>
        <w:t>电能替代</w:t>
      </w:r>
      <w:r>
        <w:rPr>
          <w:rFonts w:hint="eastAsia"/>
          <w:highlight w:val="none"/>
          <w:lang w:eastAsia="zh-CN"/>
        </w:rPr>
        <w:t>。</w:t>
      </w:r>
      <w:r>
        <w:rPr>
          <w:rFonts w:hint="eastAsia"/>
          <w:highlight w:val="none"/>
          <w:lang w:val="en-US" w:eastAsia="zh-CN"/>
        </w:rPr>
        <w:t>下面，</w:t>
      </w:r>
      <w:r>
        <w:rPr>
          <w:rFonts w:hint="eastAsia"/>
          <w:sz w:val="32"/>
          <w:szCs w:val="32"/>
          <w:highlight w:val="none"/>
          <w:lang w:val="en-US" w:eastAsia="zh-CN"/>
        </w:rPr>
        <w:t>以汽车行业为例分析。</w:t>
      </w:r>
    </w:p>
    <w:p w14:paraId="3331B213">
      <w:pPr>
        <w:pageBreakBefore w:val="0"/>
        <w:shd w:val="clear"/>
        <w:kinsoku/>
        <w:wordWrap/>
        <w:overflowPunct/>
        <w:topLinePunct w:val="0"/>
        <w:autoSpaceDE/>
        <w:autoSpaceDN/>
        <w:bidi w:val="0"/>
        <w:adjustRightInd/>
        <w:snapToGrid/>
        <w:spacing w:line="560" w:lineRule="exact"/>
        <w:rPr>
          <w:rFonts w:hint="eastAsia"/>
          <w:highlight w:val="none"/>
          <w:lang w:val="en-US" w:eastAsia="zh-CN"/>
        </w:rPr>
      </w:pPr>
      <w:r>
        <w:rPr>
          <w:rFonts w:hint="default"/>
          <w:highlight w:val="none"/>
          <w:lang w:val="en-US" w:eastAsia="zh-CN"/>
        </w:rPr>
        <w:t>新能源汽车</w:t>
      </w:r>
      <w:r>
        <w:rPr>
          <w:rFonts w:hint="eastAsia"/>
          <w:highlight w:val="none"/>
          <w:lang w:val="en-US" w:eastAsia="zh-CN"/>
        </w:rPr>
        <w:t>行业迅速崛起，一方面会拉动相关上下游产业蓬勃发展，如充换电服务业；另一方面，也引发传统燃油汽车行业变革，导致生产总值在不同行业间转移，出现“此消彼长”现象。</w:t>
      </w:r>
    </w:p>
    <w:p w14:paraId="2C80D466">
      <w:pPr>
        <w:keepNext w:val="0"/>
        <w:keepLines w:val="0"/>
        <w:pageBreakBefore w:val="0"/>
        <w:widowControl w:val="0"/>
        <w:shd w:val="clear"/>
        <w:kinsoku/>
        <w:wordWrap/>
        <w:overflowPunct/>
        <w:topLinePunct w:val="0"/>
        <w:autoSpaceDE/>
        <w:autoSpaceDN/>
        <w:bidi w:val="0"/>
        <w:adjustRightInd/>
        <w:snapToGrid/>
        <w:spacing w:line="240" w:lineRule="auto"/>
        <w:ind w:left="0" w:leftChars="0" w:firstLine="0" w:firstLineChars="0"/>
        <w:jc w:val="center"/>
        <w:textAlignment w:val="auto"/>
        <w:rPr>
          <w:sz w:val="32"/>
          <w:szCs w:val="32"/>
          <w:highlight w:val="none"/>
        </w:rPr>
      </w:pPr>
      <w:r>
        <w:rPr>
          <w:rFonts w:hint="eastAsia" w:ascii="楷体" w:hAnsi="楷体" w:eastAsia="楷体" w:cs="楷体"/>
          <w:b/>
          <w:bCs/>
          <w:sz w:val="32"/>
          <w:szCs w:val="32"/>
          <w:highlight w:val="none"/>
          <w:lang w:val="en-US" w:eastAsia="zh-CN"/>
        </w:rPr>
        <w:drawing>
          <wp:inline distT="0" distB="0" distL="114300" distR="114300">
            <wp:extent cx="5256530" cy="1729105"/>
            <wp:effectExtent l="4445" t="4445" r="9525" b="635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790A62">
      <w:pPr>
        <w:pStyle w:val="7"/>
        <w:numPr>
          <w:ilvl w:val="0"/>
          <w:numId w:val="0"/>
        </w:numPr>
        <w:shd w:val="clear"/>
        <w:bidi w:val="0"/>
        <w:spacing w:line="240" w:lineRule="auto"/>
        <w:ind w:firstLine="0" w:firstLineChars="0"/>
        <w:jc w:val="center"/>
        <w:rPr>
          <w:rFonts w:hint="eastAsia" w:ascii="仿宋_GB2312" w:hAnsi="仿宋_GB2312" w:eastAsia="仿宋_GB2312" w:cstheme="minorBidi"/>
          <w:b/>
          <w:bCs/>
          <w:kern w:val="2"/>
          <w:sz w:val="21"/>
          <w:szCs w:val="21"/>
          <w:highlight w:val="none"/>
          <w:lang w:val="en-US" w:eastAsia="zh-CN" w:bidi="ar-SA"/>
        </w:rPr>
      </w:pPr>
      <w:r>
        <w:rPr>
          <w:rFonts w:hint="eastAsia" w:ascii="仿宋_GB2312" w:hAnsi="仿宋_GB2312" w:eastAsia="仿宋_GB2312" w:cstheme="minorBidi"/>
          <w:b/>
          <w:bCs/>
          <w:kern w:val="2"/>
          <w:sz w:val="21"/>
          <w:szCs w:val="21"/>
          <w:highlight w:val="none"/>
          <w:lang w:val="en-US" w:eastAsia="zh-CN" w:bidi="ar-SA"/>
        </w:rPr>
        <w:t>图</w:t>
      </w:r>
      <w:r>
        <w:rPr>
          <w:rFonts w:hint="eastAsia" w:ascii="仿宋_GB2312" w:hAnsi="仿宋_GB2312" w:eastAsia="仿宋_GB2312" w:cstheme="minorBidi"/>
          <w:b/>
          <w:bCs/>
          <w:kern w:val="2"/>
          <w:sz w:val="21"/>
          <w:szCs w:val="21"/>
          <w:highlight w:val="none"/>
          <w:lang w:val="en-US" w:eastAsia="zh-CN" w:bidi="ar-SA"/>
        </w:rPr>
        <w:fldChar w:fldCharType="begin"/>
      </w:r>
      <w:r>
        <w:rPr>
          <w:rFonts w:hint="eastAsia" w:ascii="仿宋_GB2312" w:hAnsi="仿宋_GB2312" w:eastAsia="仿宋_GB2312" w:cstheme="minorBidi"/>
          <w:b/>
          <w:bCs/>
          <w:kern w:val="2"/>
          <w:sz w:val="21"/>
          <w:szCs w:val="21"/>
          <w:highlight w:val="none"/>
          <w:lang w:val="en-US" w:eastAsia="zh-CN" w:bidi="ar-SA"/>
        </w:rPr>
        <w:instrText xml:space="preserve"> SEQ 图 \* ARABIC </w:instrText>
      </w:r>
      <w:r>
        <w:rPr>
          <w:rFonts w:hint="eastAsia" w:ascii="仿宋_GB2312" w:hAnsi="仿宋_GB2312" w:eastAsia="仿宋_GB2312" w:cstheme="minorBidi"/>
          <w:b/>
          <w:bCs/>
          <w:kern w:val="2"/>
          <w:sz w:val="21"/>
          <w:szCs w:val="21"/>
          <w:highlight w:val="none"/>
          <w:lang w:val="en-US" w:eastAsia="zh-CN" w:bidi="ar-SA"/>
        </w:rPr>
        <w:fldChar w:fldCharType="separate"/>
      </w:r>
      <w:r>
        <w:rPr>
          <w:rFonts w:hint="eastAsia" w:ascii="仿宋_GB2312" w:hAnsi="仿宋_GB2312" w:eastAsia="仿宋_GB2312" w:cstheme="minorBidi"/>
          <w:b/>
          <w:bCs/>
          <w:kern w:val="2"/>
          <w:sz w:val="21"/>
          <w:szCs w:val="21"/>
          <w:highlight w:val="none"/>
          <w:lang w:val="en-US" w:eastAsia="zh-CN" w:bidi="ar-SA"/>
        </w:rPr>
        <w:t>11</w:t>
      </w:r>
      <w:r>
        <w:rPr>
          <w:rFonts w:hint="eastAsia" w:ascii="仿宋_GB2312" w:hAnsi="仿宋_GB2312" w:eastAsia="仿宋_GB2312" w:cstheme="minorBidi"/>
          <w:b/>
          <w:bCs/>
          <w:kern w:val="2"/>
          <w:sz w:val="21"/>
          <w:szCs w:val="21"/>
          <w:highlight w:val="none"/>
          <w:lang w:val="en-US" w:eastAsia="zh-CN" w:bidi="ar-SA"/>
        </w:rPr>
        <w:fldChar w:fldCharType="end"/>
      </w:r>
      <w:r>
        <w:rPr>
          <w:rFonts w:hint="eastAsia" w:ascii="仿宋_GB2312" w:hAnsi="仿宋_GB2312" w:eastAsia="仿宋_GB2312" w:cstheme="minorBidi"/>
          <w:b/>
          <w:bCs/>
          <w:kern w:val="2"/>
          <w:sz w:val="21"/>
          <w:szCs w:val="21"/>
          <w:highlight w:val="none"/>
          <w:lang w:val="en-US" w:eastAsia="zh-CN" w:bidi="ar-SA"/>
        </w:rPr>
        <w:t xml:space="preserve">  充换电服务业售电量情况</w:t>
      </w:r>
    </w:p>
    <w:p w14:paraId="627FEBC9">
      <w:pPr>
        <w:pageBreakBefore w:val="0"/>
        <w:shd w:val="clear"/>
        <w:kinsoku/>
        <w:wordWrap/>
        <w:overflowPunct/>
        <w:topLinePunct w:val="0"/>
        <w:autoSpaceDE/>
        <w:autoSpaceDN/>
        <w:bidi w:val="0"/>
        <w:adjustRightInd/>
        <w:snapToGrid/>
        <w:spacing w:line="560" w:lineRule="exact"/>
        <w:rPr>
          <w:rFonts w:hint="default"/>
          <w:highlight w:val="none"/>
          <w:lang w:val="en-US" w:eastAsia="zh-CN"/>
        </w:rPr>
      </w:pPr>
      <w:r>
        <w:rPr>
          <w:rFonts w:hint="eastAsia" w:ascii="楷体" w:hAnsi="楷体" w:eastAsia="楷体" w:cs="楷体"/>
          <w:b/>
          <w:bCs/>
          <w:sz w:val="32"/>
          <w:szCs w:val="32"/>
          <w:highlight w:val="none"/>
          <w:lang w:val="en-US" w:eastAsia="zh-CN"/>
        </w:rPr>
        <w:t>从汽车制造看，</w:t>
      </w:r>
      <w:r>
        <w:rPr>
          <w:rFonts w:hint="eastAsia"/>
          <w:b w:val="0"/>
          <w:bCs w:val="0"/>
          <w:highlight w:val="none"/>
          <w:lang w:val="en-US" w:eastAsia="zh-CN"/>
        </w:rPr>
        <w:t>新能源汽车产量增加对GDP产生正面影响，但该影响在一定程度上会被传统汽车行业产量下滑所削弱。</w:t>
      </w:r>
      <w:r>
        <w:rPr>
          <w:rFonts w:hint="eastAsia" w:ascii="楷体" w:hAnsi="楷体" w:eastAsia="楷体" w:cs="楷体"/>
          <w:b/>
          <w:bCs/>
          <w:sz w:val="32"/>
          <w:szCs w:val="32"/>
          <w:highlight w:val="none"/>
          <w:lang w:val="en-US" w:eastAsia="zh-CN"/>
        </w:rPr>
        <w:t>以特斯拉和上汽通用两大汽车制造商为例，</w:t>
      </w:r>
      <w:r>
        <w:rPr>
          <w:rFonts w:hint="eastAsia"/>
          <w:highlight w:val="none"/>
          <w:lang w:val="en-US" w:eastAsia="zh-CN"/>
        </w:rPr>
        <w:t>2021-2023年间，特斯拉产量年均增长40.65%，售电量年均增长17.70%，售电量增幅/产量增幅为0.44；而上汽通用产量年均下降15.03%，售电量年均下降8.87%，使得汽车制造整体产值增幅收窄，两者合计售电量增幅/产量增幅扩大至2.28。</w:t>
      </w:r>
    </w:p>
    <w:p w14:paraId="3A5D2417">
      <w:pPr>
        <w:pStyle w:val="7"/>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Chars="0" w:firstLine="0" w:firstLineChars="0"/>
        <w:jc w:val="center"/>
        <w:textAlignment w:val="auto"/>
        <w:rPr>
          <w:rFonts w:hint="default" w:ascii="仿宋_GB2312" w:hAnsi="仿宋_GB2312" w:eastAsia="仿宋_GB2312" w:cstheme="minorBidi"/>
          <w:b/>
          <w:bCs/>
          <w:kern w:val="2"/>
          <w:sz w:val="21"/>
          <w:szCs w:val="21"/>
          <w:highlight w:val="none"/>
          <w:lang w:val="en-US" w:eastAsia="zh-CN" w:bidi="ar-SA"/>
        </w:rPr>
      </w:pPr>
      <w:r>
        <w:rPr>
          <w:rFonts w:hint="eastAsia" w:ascii="楷体" w:hAnsi="楷体" w:eastAsia="楷体" w:cs="楷体"/>
          <w:b/>
          <w:bCs/>
          <w:sz w:val="32"/>
          <w:szCs w:val="32"/>
          <w:highlight w:val="none"/>
          <w:lang w:val="en-US" w:eastAsia="zh-CN"/>
        </w:rPr>
        <w:drawing>
          <wp:inline distT="0" distB="0" distL="114300" distR="114300">
            <wp:extent cx="5256530" cy="1297305"/>
            <wp:effectExtent l="4445" t="4445" r="9525" b="635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hint="eastAsia" w:ascii="仿宋_GB2312" w:hAnsi="仿宋_GB2312" w:eastAsia="仿宋_GB2312" w:cstheme="minorBidi"/>
          <w:b/>
          <w:bCs/>
          <w:kern w:val="2"/>
          <w:sz w:val="21"/>
          <w:szCs w:val="21"/>
          <w:highlight w:val="none"/>
          <w:lang w:val="en-US" w:eastAsia="zh-CN" w:bidi="ar-SA"/>
        </w:rPr>
        <w:t>图</w:t>
      </w:r>
      <w:r>
        <w:rPr>
          <w:rFonts w:hint="eastAsia" w:ascii="仿宋_GB2312" w:hAnsi="仿宋_GB2312" w:eastAsia="仿宋_GB2312" w:cstheme="minorBidi"/>
          <w:b/>
          <w:bCs/>
          <w:kern w:val="2"/>
          <w:sz w:val="21"/>
          <w:szCs w:val="21"/>
          <w:highlight w:val="none"/>
          <w:lang w:val="en-US" w:eastAsia="zh-CN" w:bidi="ar-SA"/>
        </w:rPr>
        <w:fldChar w:fldCharType="begin"/>
      </w:r>
      <w:r>
        <w:rPr>
          <w:rFonts w:hint="eastAsia" w:ascii="仿宋_GB2312" w:hAnsi="仿宋_GB2312" w:eastAsia="仿宋_GB2312" w:cstheme="minorBidi"/>
          <w:b/>
          <w:bCs/>
          <w:kern w:val="2"/>
          <w:sz w:val="21"/>
          <w:szCs w:val="21"/>
          <w:highlight w:val="none"/>
          <w:lang w:val="en-US" w:eastAsia="zh-CN" w:bidi="ar-SA"/>
        </w:rPr>
        <w:instrText xml:space="preserve"> SEQ 图 \* ARABIC </w:instrText>
      </w:r>
      <w:r>
        <w:rPr>
          <w:rFonts w:hint="eastAsia" w:ascii="仿宋_GB2312" w:hAnsi="仿宋_GB2312" w:eastAsia="仿宋_GB2312" w:cstheme="minorBidi"/>
          <w:b/>
          <w:bCs/>
          <w:kern w:val="2"/>
          <w:sz w:val="21"/>
          <w:szCs w:val="21"/>
          <w:highlight w:val="none"/>
          <w:lang w:val="en-US" w:eastAsia="zh-CN" w:bidi="ar-SA"/>
        </w:rPr>
        <w:fldChar w:fldCharType="separate"/>
      </w:r>
      <w:r>
        <w:rPr>
          <w:rFonts w:hint="eastAsia" w:ascii="仿宋_GB2312" w:hAnsi="仿宋_GB2312" w:eastAsia="仿宋_GB2312" w:cstheme="minorBidi"/>
          <w:b/>
          <w:bCs/>
          <w:kern w:val="2"/>
          <w:sz w:val="21"/>
          <w:szCs w:val="21"/>
          <w:highlight w:val="none"/>
          <w:lang w:val="en-US" w:eastAsia="zh-CN" w:bidi="ar-SA"/>
        </w:rPr>
        <w:t>12</w:t>
      </w:r>
      <w:r>
        <w:rPr>
          <w:rFonts w:hint="eastAsia" w:ascii="仿宋_GB2312" w:hAnsi="仿宋_GB2312" w:eastAsia="仿宋_GB2312" w:cstheme="minorBidi"/>
          <w:b/>
          <w:bCs/>
          <w:kern w:val="2"/>
          <w:sz w:val="21"/>
          <w:szCs w:val="21"/>
          <w:highlight w:val="none"/>
          <w:lang w:val="en-US" w:eastAsia="zh-CN" w:bidi="ar-SA"/>
        </w:rPr>
        <w:fldChar w:fldCharType="end"/>
      </w:r>
      <w:r>
        <w:rPr>
          <w:rFonts w:hint="eastAsia" w:ascii="仿宋_GB2312" w:hAnsi="仿宋_GB2312" w:eastAsia="仿宋_GB2312" w:cstheme="minorBidi"/>
          <w:b/>
          <w:bCs/>
          <w:kern w:val="2"/>
          <w:sz w:val="21"/>
          <w:szCs w:val="21"/>
          <w:highlight w:val="none"/>
          <w:lang w:val="en-US" w:eastAsia="zh-CN" w:bidi="ar-SA"/>
        </w:rPr>
        <w:t xml:space="preserve">  2021-2023年特斯拉、上汽通用汽车产量</w:t>
      </w:r>
    </w:p>
    <w:p w14:paraId="69428AFD">
      <w:pPr>
        <w:keepNext w:val="0"/>
        <w:keepLines w:val="0"/>
        <w:pageBreakBefore w:val="0"/>
        <w:widowControl w:val="0"/>
        <w:shd w:val="clear"/>
        <w:kinsoku/>
        <w:wordWrap/>
        <w:overflowPunct/>
        <w:topLinePunct w:val="0"/>
        <w:autoSpaceDE/>
        <w:autoSpaceDN/>
        <w:bidi w:val="0"/>
        <w:adjustRightInd/>
        <w:snapToGrid/>
        <w:spacing w:line="560" w:lineRule="exact"/>
        <w:ind w:left="0" w:leftChars="0" w:firstLine="643" w:firstLineChars="200"/>
        <w:jc w:val="both"/>
        <w:textAlignment w:val="auto"/>
        <w:rPr>
          <w:rFonts w:hint="eastAsia" w:ascii="仿宋_GB2312" w:eastAsia="仿宋_GB2312" w:cstheme="minorBidi"/>
          <w:b w:val="0"/>
          <w:bCs w:val="0"/>
          <w:kern w:val="2"/>
          <w:sz w:val="32"/>
          <w:szCs w:val="32"/>
          <w:highlight w:val="none"/>
          <w:lang w:val="en-US" w:eastAsia="zh-CN" w:bidi="ar-SA"/>
        </w:rPr>
      </w:pPr>
      <w:r>
        <w:rPr>
          <w:rFonts w:hint="eastAsia" w:ascii="楷体" w:hAnsi="楷体" w:eastAsia="楷体" w:cs="楷体"/>
          <w:b/>
          <w:bCs/>
          <w:sz w:val="32"/>
          <w:szCs w:val="32"/>
          <w:highlight w:val="none"/>
          <w:lang w:val="en-US" w:eastAsia="zh-CN"/>
        </w:rPr>
        <w:t>从汽车用能看，</w:t>
      </w:r>
      <w:r>
        <w:rPr>
          <w:rFonts w:hint="eastAsia"/>
          <w:b w:val="0"/>
          <w:bCs w:val="0"/>
          <w:highlight w:val="none"/>
          <w:lang w:val="en-US" w:eastAsia="zh-CN"/>
        </w:rPr>
        <w:t>电动汽车充电服务带来的GDP增长可能会被燃油消费减少所削减。</w:t>
      </w:r>
      <w:r>
        <w:rPr>
          <w:rFonts w:hint="eastAsia"/>
          <w:highlight w:val="none"/>
          <w:lang w:val="en-US" w:eastAsia="zh-CN"/>
        </w:rPr>
        <w:t>以当前价格测算，</w:t>
      </w:r>
      <w:r>
        <w:rPr>
          <w:rFonts w:hint="eastAsia" w:ascii="楷体" w:hAnsi="楷体" w:eastAsia="楷体" w:cs="楷体"/>
          <w:b/>
          <w:bCs/>
          <w:sz w:val="32"/>
          <w:szCs w:val="32"/>
          <w:highlight w:val="none"/>
          <w:lang w:val="en-US" w:eastAsia="zh-CN"/>
        </w:rPr>
        <w:t>纯电动汽车</w:t>
      </w:r>
      <w:r>
        <w:rPr>
          <w:rFonts w:hint="eastAsia"/>
          <w:b w:val="0"/>
          <w:bCs w:val="0"/>
          <w:highlight w:val="none"/>
          <w:lang w:val="en-US" w:eastAsia="zh-CN"/>
        </w:rPr>
        <w:t>百公里充电费用约24元（基于平均充电价格1.6元/度、百公里耗电量15度计算）；</w:t>
      </w:r>
      <w:r>
        <w:rPr>
          <w:rFonts w:hint="eastAsia" w:ascii="楷体" w:hAnsi="楷体" w:eastAsia="楷体" w:cs="楷体"/>
          <w:b/>
          <w:bCs/>
          <w:sz w:val="32"/>
          <w:szCs w:val="32"/>
          <w:highlight w:val="none"/>
          <w:lang w:val="en-US" w:eastAsia="zh-CN"/>
        </w:rPr>
        <w:t>燃油汽车</w:t>
      </w:r>
      <w:r>
        <w:rPr>
          <w:rFonts w:hint="eastAsia"/>
          <w:b w:val="0"/>
          <w:bCs w:val="0"/>
          <w:highlight w:val="none"/>
          <w:lang w:val="en-US" w:eastAsia="zh-CN"/>
        </w:rPr>
        <w:t>百公里燃油费用约65.6元（</w:t>
      </w:r>
      <w:r>
        <w:rPr>
          <w:rFonts w:hint="eastAsia" w:cstheme="minorBidi"/>
          <w:b w:val="0"/>
          <w:bCs w:val="0"/>
          <w:kern w:val="2"/>
          <w:sz w:val="32"/>
          <w:szCs w:val="32"/>
          <w:highlight w:val="none"/>
          <w:lang w:val="en-US" w:eastAsia="zh-CN" w:bidi="ar-SA"/>
        </w:rPr>
        <w:t>基于</w:t>
      </w:r>
      <w:r>
        <w:rPr>
          <w:rFonts w:hint="eastAsia"/>
          <w:b w:val="0"/>
          <w:bCs w:val="0"/>
          <w:highlight w:val="none"/>
          <w:lang w:val="en-US" w:eastAsia="zh-CN"/>
        </w:rPr>
        <w:t>平均</w:t>
      </w:r>
      <w:r>
        <w:rPr>
          <w:rFonts w:hint="eastAsia" w:cstheme="minorBidi"/>
          <w:b w:val="0"/>
          <w:bCs w:val="0"/>
          <w:kern w:val="2"/>
          <w:sz w:val="32"/>
          <w:szCs w:val="32"/>
          <w:highlight w:val="none"/>
          <w:lang w:val="en-US" w:eastAsia="zh-CN" w:bidi="ar-SA"/>
        </w:rPr>
        <w:t>汽油价格8.2元/升、百公里油耗8升计算</w:t>
      </w:r>
      <w:r>
        <w:rPr>
          <w:rFonts w:hint="eastAsia"/>
          <w:b w:val="0"/>
          <w:bCs w:val="0"/>
          <w:highlight w:val="none"/>
          <w:lang w:val="en-US" w:eastAsia="zh-CN"/>
        </w:rPr>
        <w:t>）</w:t>
      </w:r>
      <w:r>
        <w:rPr>
          <w:rFonts w:hint="eastAsia"/>
          <w:highlight w:val="none"/>
          <w:lang w:val="en-US" w:eastAsia="zh-CN"/>
        </w:rPr>
        <w:t>。</w:t>
      </w:r>
      <w:r>
        <w:rPr>
          <w:rFonts w:hint="eastAsia" w:ascii="楷体" w:hAnsi="楷体" w:eastAsia="楷体" w:cs="楷体"/>
          <w:b/>
          <w:bCs/>
          <w:kern w:val="2"/>
          <w:sz w:val="32"/>
          <w:szCs w:val="22"/>
          <w:highlight w:val="none"/>
          <w:lang w:val="en-US" w:eastAsia="zh-CN" w:bidi="ar-SA"/>
        </w:rPr>
        <w:t>同样行驶100公里，电动汽车相较于燃油汽车，能源消耗对应GDP贡献减少约63%。</w:t>
      </w:r>
    </w:p>
    <w:p w14:paraId="0090ACDA">
      <w:pPr>
        <w:keepNext w:val="0"/>
        <w:keepLines w:val="0"/>
        <w:pageBreakBefore w:val="0"/>
        <w:widowControl w:val="0"/>
        <w:numPr>
          <w:ilvl w:val="0"/>
          <w:numId w:val="7"/>
        </w:numPr>
        <w:shd w:val="clear"/>
        <w:kinsoku/>
        <w:wordWrap/>
        <w:overflowPunct/>
        <w:topLinePunct w:val="0"/>
        <w:autoSpaceDE/>
        <w:autoSpaceDN/>
        <w:bidi w:val="0"/>
        <w:adjustRightInd/>
        <w:snapToGrid/>
        <w:spacing w:line="560" w:lineRule="exact"/>
        <w:ind w:left="0" w:leftChars="0" w:firstLine="643" w:firstLineChars="200"/>
        <w:textAlignment w:val="auto"/>
        <w:outlineLvl w:val="1"/>
        <w:rPr>
          <w:rFonts w:hint="eastAsia" w:ascii="楷体" w:hAnsi="楷体" w:eastAsia="楷体" w:cs="楷体"/>
          <w:b/>
          <w:bCs/>
          <w:sz w:val="32"/>
          <w:szCs w:val="32"/>
          <w:highlight w:val="none"/>
          <w:lang w:val="en-US" w:eastAsia="zh-CN"/>
        </w:rPr>
      </w:pPr>
      <w:r>
        <w:rPr>
          <w:rFonts w:hint="eastAsia" w:ascii="楷体" w:hAnsi="楷体" w:eastAsia="楷体" w:cs="楷体"/>
          <w:b/>
          <w:bCs/>
          <w:sz w:val="32"/>
          <w:szCs w:val="32"/>
          <w:highlight w:val="none"/>
          <w:lang w:val="en-US" w:eastAsia="zh-CN"/>
        </w:rPr>
        <w:t>新兴产业——以数据中心为例</w:t>
      </w:r>
    </w:p>
    <w:p w14:paraId="7A5B4346">
      <w:pPr>
        <w:pageBreakBefore w:val="0"/>
        <w:shd w:val="clear"/>
        <w:kinsoku/>
        <w:wordWrap/>
        <w:overflowPunct/>
        <w:topLinePunct w:val="0"/>
        <w:autoSpaceDE/>
        <w:autoSpaceDN/>
        <w:bidi w:val="0"/>
        <w:adjustRightInd/>
        <w:snapToGrid/>
        <w:spacing w:line="560" w:lineRule="exact"/>
        <w:rPr>
          <w:rFonts w:hint="eastAsia"/>
          <w:sz w:val="32"/>
          <w:szCs w:val="32"/>
          <w:highlight w:val="none"/>
          <w:lang w:val="en-US" w:eastAsia="zh-CN"/>
        </w:rPr>
      </w:pPr>
      <w:r>
        <w:rPr>
          <w:rFonts w:hint="eastAsia"/>
          <w:sz w:val="32"/>
          <w:szCs w:val="32"/>
          <w:highlight w:val="none"/>
          <w:lang w:val="en-US" w:eastAsia="zh-CN"/>
        </w:rPr>
        <w:t>2023年以来，以ChatGPT为代表的新一代人工智能迎来跨越式发展，人工智能所依赖的数据中心也保持高速增长。上海市通信管理局数据显示，截至2023年9月底，上海在用数据中心标准机架达42.3万个，上架率约65%，在用和在建算力总规模超过14EFLOPS</w:t>
      </w:r>
      <w:r>
        <w:rPr>
          <w:rStyle w:val="19"/>
          <w:rFonts w:hint="eastAsia"/>
          <w:sz w:val="32"/>
          <w:szCs w:val="32"/>
          <w:highlight w:val="none"/>
          <w:lang w:val="en-US" w:eastAsia="zh-CN"/>
        </w:rPr>
        <w:footnoteReference w:id="0"/>
      </w:r>
      <w:r>
        <w:rPr>
          <w:rFonts w:hint="eastAsia"/>
          <w:sz w:val="32"/>
          <w:szCs w:val="32"/>
          <w:highlight w:val="none"/>
          <w:lang w:val="en-US" w:eastAsia="zh-CN"/>
        </w:rPr>
        <w:t>，算力综合指数全国排名第三。</w:t>
      </w:r>
    </w:p>
    <w:p w14:paraId="7580B192">
      <w:pPr>
        <w:pStyle w:val="6"/>
        <w:pageBreakBefore w:val="0"/>
        <w:shd w:val="clear"/>
        <w:kinsoku/>
        <w:wordWrap/>
        <w:overflowPunct/>
        <w:topLinePunct w:val="0"/>
        <w:autoSpaceDE/>
        <w:autoSpaceDN/>
        <w:bidi w:val="0"/>
        <w:adjustRightInd/>
        <w:snapToGrid/>
        <w:spacing w:line="560" w:lineRule="exact"/>
        <w:rPr>
          <w:rFonts w:hint="eastAsia" w:cstheme="minorBidi"/>
          <w:kern w:val="2"/>
          <w:sz w:val="32"/>
          <w:szCs w:val="32"/>
          <w:highlight w:val="none"/>
          <w:lang w:val="en-US" w:eastAsia="zh-CN" w:bidi="ar-SA"/>
        </w:rPr>
      </w:pPr>
      <w:r>
        <w:rPr>
          <w:rFonts w:hint="eastAsia"/>
          <w:sz w:val="32"/>
          <w:szCs w:val="32"/>
          <w:highlight w:val="none"/>
          <w:lang w:val="en-US" w:eastAsia="zh-CN"/>
        </w:rPr>
        <w:t>但同时，伴随而来的是数据中心背后的超高算力功耗，电力需求与日俱增。</w:t>
      </w:r>
      <w:r>
        <w:rPr>
          <w:rFonts w:hint="eastAsia" w:cstheme="minorBidi"/>
          <w:kern w:val="2"/>
          <w:sz w:val="32"/>
          <w:szCs w:val="32"/>
          <w:highlight w:val="none"/>
          <w:lang w:val="en-US" w:eastAsia="zh-CN" w:bidi="ar-SA"/>
        </w:rPr>
        <w:t>2024年上半年，上海数据中心用电量17.93亿千瓦时，占全行业用电量的2.83%。</w:t>
      </w:r>
    </w:p>
    <w:p w14:paraId="6A17B31B">
      <w:pPr>
        <w:shd w:val="clear"/>
        <w:spacing w:line="240" w:lineRule="auto"/>
        <w:ind w:firstLine="0" w:firstLineChars="0"/>
        <w:rPr>
          <w:rFonts w:hint="eastAsia"/>
          <w:highlight w:val="none"/>
          <w:lang w:val="en-US" w:eastAsia="zh-CN"/>
        </w:rPr>
      </w:pPr>
      <w:r>
        <w:rPr>
          <w:rFonts w:hint="eastAsia" w:ascii="楷体" w:hAnsi="楷体" w:eastAsia="楷体" w:cs="楷体"/>
          <w:b/>
          <w:bCs/>
          <w:sz w:val="32"/>
          <w:szCs w:val="32"/>
          <w:highlight w:val="none"/>
          <w:lang w:val="en-US" w:eastAsia="zh-CN"/>
        </w:rPr>
        <w:drawing>
          <wp:inline distT="0" distB="0" distL="114300" distR="114300">
            <wp:extent cx="5240655" cy="2115820"/>
            <wp:effectExtent l="4445" t="4445" r="12700" b="1333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C947BCF">
      <w:pPr>
        <w:pStyle w:val="7"/>
        <w:numPr>
          <w:ilvl w:val="0"/>
          <w:numId w:val="0"/>
        </w:numPr>
        <w:shd w:val="clear"/>
        <w:bidi w:val="0"/>
        <w:spacing w:line="240" w:lineRule="auto"/>
        <w:ind w:firstLine="0" w:firstLineChars="0"/>
        <w:jc w:val="center"/>
        <w:rPr>
          <w:rFonts w:hint="default" w:ascii="仿宋_GB2312" w:hAnsi="仿宋_GB2312" w:eastAsia="仿宋_GB2312" w:cstheme="minorBidi"/>
          <w:b/>
          <w:bCs/>
          <w:kern w:val="2"/>
          <w:sz w:val="21"/>
          <w:szCs w:val="21"/>
          <w:highlight w:val="none"/>
          <w:lang w:val="en-US" w:eastAsia="zh-CN" w:bidi="ar-SA"/>
        </w:rPr>
      </w:pPr>
      <w:r>
        <w:rPr>
          <w:rFonts w:hint="eastAsia" w:ascii="仿宋_GB2312" w:hAnsi="仿宋_GB2312" w:eastAsia="仿宋_GB2312" w:cstheme="minorBidi"/>
          <w:b/>
          <w:bCs/>
          <w:kern w:val="2"/>
          <w:sz w:val="21"/>
          <w:szCs w:val="21"/>
          <w:highlight w:val="none"/>
          <w:lang w:val="en-US" w:eastAsia="zh-CN" w:bidi="ar-SA"/>
        </w:rPr>
        <w:t>图</w:t>
      </w:r>
      <w:r>
        <w:rPr>
          <w:rFonts w:hint="eastAsia" w:ascii="仿宋_GB2312" w:hAnsi="仿宋_GB2312" w:eastAsia="仿宋_GB2312" w:cstheme="minorBidi"/>
          <w:b/>
          <w:bCs/>
          <w:kern w:val="2"/>
          <w:sz w:val="21"/>
          <w:szCs w:val="21"/>
          <w:highlight w:val="none"/>
          <w:lang w:val="en-US" w:eastAsia="zh-CN" w:bidi="ar-SA"/>
        </w:rPr>
        <w:fldChar w:fldCharType="begin"/>
      </w:r>
      <w:r>
        <w:rPr>
          <w:rFonts w:hint="eastAsia" w:ascii="仿宋_GB2312" w:hAnsi="仿宋_GB2312" w:eastAsia="仿宋_GB2312" w:cstheme="minorBidi"/>
          <w:b/>
          <w:bCs/>
          <w:kern w:val="2"/>
          <w:sz w:val="21"/>
          <w:szCs w:val="21"/>
          <w:highlight w:val="none"/>
          <w:lang w:val="en-US" w:eastAsia="zh-CN" w:bidi="ar-SA"/>
        </w:rPr>
        <w:instrText xml:space="preserve"> SEQ 图 \* ARABIC </w:instrText>
      </w:r>
      <w:r>
        <w:rPr>
          <w:rFonts w:hint="eastAsia" w:ascii="仿宋_GB2312" w:hAnsi="仿宋_GB2312" w:eastAsia="仿宋_GB2312" w:cstheme="minorBidi"/>
          <w:b/>
          <w:bCs/>
          <w:kern w:val="2"/>
          <w:sz w:val="21"/>
          <w:szCs w:val="21"/>
          <w:highlight w:val="none"/>
          <w:lang w:val="en-US" w:eastAsia="zh-CN" w:bidi="ar-SA"/>
        </w:rPr>
        <w:fldChar w:fldCharType="separate"/>
      </w:r>
      <w:r>
        <w:rPr>
          <w:rFonts w:hint="eastAsia" w:ascii="仿宋_GB2312" w:hAnsi="仿宋_GB2312" w:eastAsia="仿宋_GB2312" w:cstheme="minorBidi"/>
          <w:b/>
          <w:bCs/>
          <w:kern w:val="2"/>
          <w:sz w:val="21"/>
          <w:szCs w:val="21"/>
          <w:highlight w:val="none"/>
          <w:lang w:val="en-US" w:eastAsia="zh-CN" w:bidi="ar-SA"/>
        </w:rPr>
        <w:t>13</w:t>
      </w:r>
      <w:r>
        <w:rPr>
          <w:rFonts w:hint="eastAsia" w:ascii="仿宋_GB2312" w:hAnsi="仿宋_GB2312" w:eastAsia="仿宋_GB2312" w:cstheme="minorBidi"/>
          <w:b/>
          <w:bCs/>
          <w:kern w:val="2"/>
          <w:sz w:val="21"/>
          <w:szCs w:val="21"/>
          <w:highlight w:val="none"/>
          <w:lang w:val="en-US" w:eastAsia="zh-CN" w:bidi="ar-SA"/>
        </w:rPr>
        <w:fldChar w:fldCharType="end"/>
      </w:r>
      <w:r>
        <w:rPr>
          <w:rFonts w:hint="eastAsia" w:ascii="仿宋_GB2312" w:hAnsi="仿宋_GB2312" w:eastAsia="仿宋_GB2312" w:cstheme="minorBidi"/>
          <w:b/>
          <w:bCs/>
          <w:kern w:val="2"/>
          <w:sz w:val="21"/>
          <w:szCs w:val="21"/>
          <w:highlight w:val="none"/>
          <w:lang w:val="en-US" w:eastAsia="zh-CN" w:bidi="ar-SA"/>
        </w:rPr>
        <w:t xml:space="preserve">  </w:t>
      </w:r>
      <w:r>
        <w:rPr>
          <w:rFonts w:hint="eastAsia" w:ascii="仿宋_GB2312" w:hAnsi="仿宋_GB2312" w:eastAsia="仿宋_GB2312" w:cstheme="minorBidi"/>
          <w:b/>
          <w:bCs/>
          <w:kern w:val="2"/>
          <w:sz w:val="21"/>
          <w:szCs w:val="21"/>
          <w:highlight w:val="none"/>
          <w:lang w:val="en-US" w:eastAsia="zh" w:bidi="ar-SA"/>
        </w:rPr>
        <w:t>数据中心售电量情况</w:t>
      </w:r>
    </w:p>
    <w:p w14:paraId="1EDB33BE">
      <w:pPr>
        <w:pStyle w:val="6"/>
        <w:shd w:val="clear"/>
        <w:rPr>
          <w:rFonts w:hint="default"/>
          <w:highlight w:val="none"/>
          <w:lang w:val="en-US" w:eastAsia="zh-CN"/>
        </w:rPr>
      </w:pPr>
      <w:r>
        <w:rPr>
          <w:rFonts w:hint="eastAsia" w:ascii="楷体" w:hAnsi="楷体" w:eastAsia="楷体" w:cs="楷体"/>
          <w:b/>
          <w:bCs/>
          <w:kern w:val="2"/>
          <w:sz w:val="32"/>
          <w:szCs w:val="32"/>
          <w:highlight w:val="none"/>
          <w:lang w:val="en-US" w:eastAsia="zh-CN" w:bidi="ar-SA"/>
        </w:rPr>
        <w:t>从GDP影响</w:t>
      </w:r>
      <w:r>
        <w:rPr>
          <w:rFonts w:hint="default" w:ascii="楷体" w:hAnsi="楷体" w:eastAsia="楷体" w:cs="楷体"/>
          <w:b/>
          <w:bCs/>
          <w:kern w:val="2"/>
          <w:sz w:val="32"/>
          <w:szCs w:val="32"/>
          <w:highlight w:val="none"/>
          <w:lang w:val="en-US" w:eastAsia="zh-CN" w:bidi="ar-SA"/>
        </w:rPr>
        <w:t>看，</w:t>
      </w:r>
      <w:r>
        <w:rPr>
          <w:rFonts w:hint="eastAsia"/>
          <w:sz w:val="32"/>
          <w:szCs w:val="32"/>
          <w:highlight w:val="none"/>
          <w:lang w:val="en-US" w:eastAsia="zh-CN"/>
        </w:rPr>
        <w:t>上海数据中心用电量呈上升趋势，但数据中心运营模式、盈利方式仍处于探索当中，且电信、通信、银行等数据资源丰富、实力雄厚的大型企业出于发展战略需要抢先布局，建设的数据中心多以内部研发、支撑运营为主，对产业增加值贡献有限。此外，数据中心一般24小时运行，其电力成本占运营总成本超60%-70%，产值增速低于用电量增速。2023年二、三季度互联网数据服务行业用电量同比增速分别为23.3%和30.3%，而云计算、大数据服务共实现收入同比分别增长16.4%和14.6%，低于用电量增速。</w:t>
      </w:r>
    </w:p>
    <w:p w14:paraId="513EF5B0">
      <w:pPr>
        <w:pStyle w:val="2"/>
        <w:keepNext/>
        <w:keepLines/>
        <w:pageBreakBefore w:val="0"/>
        <w:widowControl w:val="0"/>
        <w:numPr>
          <w:ilvl w:val="0"/>
          <w:numId w:val="5"/>
        </w:numPr>
        <w:shd w:val="clear"/>
        <w:kinsoku/>
        <w:wordWrap/>
        <w:overflowPunct/>
        <w:topLinePunct w:val="0"/>
        <w:autoSpaceDE/>
        <w:autoSpaceDN/>
        <w:bidi w:val="0"/>
        <w:adjustRightInd/>
        <w:snapToGrid/>
        <w:spacing w:line="560" w:lineRule="exact"/>
        <w:ind w:leftChars="0" w:firstLine="640" w:firstLineChars="200"/>
        <w:textAlignment w:val="auto"/>
        <w:rPr>
          <w:rFonts w:hint="default"/>
          <w:b w:val="0"/>
          <w:bCs w:val="0"/>
          <w:sz w:val="32"/>
          <w:szCs w:val="32"/>
          <w:highlight w:val="none"/>
          <w:lang w:val="en-US" w:eastAsia="zh-CN"/>
        </w:rPr>
      </w:pPr>
      <w:r>
        <w:rPr>
          <w:rFonts w:hint="eastAsia"/>
          <w:b w:val="0"/>
          <w:bCs w:val="0"/>
          <w:sz w:val="32"/>
          <w:szCs w:val="32"/>
          <w:highlight w:val="none"/>
          <w:lang w:val="en-US" w:eastAsia="zh-CN"/>
        </w:rPr>
        <w:t>主要研究结论</w:t>
      </w:r>
    </w:p>
    <w:p w14:paraId="40E9B595">
      <w:pPr>
        <w:pStyle w:val="15"/>
        <w:keepNext w:val="0"/>
        <w:keepLines w:val="0"/>
        <w:pageBreakBefore w:val="0"/>
        <w:widowControl w:val="0"/>
        <w:numPr>
          <w:ilvl w:val="0"/>
          <w:numId w:val="0"/>
        </w:numPr>
        <w:shd w:val="clear"/>
        <w:kinsoku/>
        <w:wordWrap/>
        <w:overflowPunct/>
        <w:topLinePunct w:val="0"/>
        <w:autoSpaceDE/>
        <w:autoSpaceDN/>
        <w:bidi w:val="0"/>
        <w:adjustRightInd/>
        <w:snapToGrid/>
        <w:spacing w:after="0" w:line="560" w:lineRule="exact"/>
        <w:ind w:firstLine="643" w:firstLineChars="200"/>
        <w:textAlignment w:val="auto"/>
        <w:outlineLvl w:val="9"/>
        <w:rPr>
          <w:rFonts w:hint="eastAsia" w:ascii="仿宋_GB2312" w:hAnsi="仿宋_GB2312" w:eastAsia="仿宋_GB2312" w:cstheme="minorBidi"/>
          <w:kern w:val="2"/>
          <w:sz w:val="32"/>
          <w:szCs w:val="32"/>
          <w:highlight w:val="none"/>
          <w:lang w:val="en-US" w:eastAsia="zh-CN" w:bidi="ar-SA"/>
        </w:rPr>
      </w:pPr>
      <w:r>
        <w:rPr>
          <w:rFonts w:hint="eastAsia" w:ascii="楷体_GB2312" w:hAnsi="楷体_GB2312" w:eastAsia="楷体_GB2312" w:cs="楷体_GB2312"/>
          <w:b/>
          <w:bCs/>
          <w:color w:val="auto"/>
          <w:kern w:val="2"/>
          <w:sz w:val="32"/>
          <w:szCs w:val="32"/>
          <w:highlight w:val="none"/>
          <w:lang w:val="en-US" w:eastAsia="zh-CN" w:bidi="ar-SA"/>
        </w:rPr>
        <w:t>1、电力消费弹性系数随经济发展阶段变化而变化。</w:t>
      </w:r>
      <w:r>
        <w:rPr>
          <w:rFonts w:hint="eastAsia" w:ascii="仿宋_GB2312" w:hAnsi="仿宋_GB2312" w:cstheme="minorBidi"/>
          <w:kern w:val="2"/>
          <w:sz w:val="32"/>
          <w:szCs w:val="32"/>
          <w:highlight w:val="none"/>
          <w:lang w:val="en-US" w:eastAsia="zh-CN" w:bidi="ar-SA"/>
        </w:rPr>
        <w:t>当经济处于恢复期或高速发展阶段时，</w:t>
      </w:r>
      <w:r>
        <w:rPr>
          <w:rFonts w:hint="eastAsia" w:ascii="仿宋_GB2312" w:hAnsi="仿宋_GB2312" w:eastAsia="仿宋_GB2312" w:cstheme="minorBidi"/>
          <w:kern w:val="2"/>
          <w:sz w:val="32"/>
          <w:szCs w:val="32"/>
          <w:highlight w:val="none"/>
          <w:lang w:val="en-US" w:eastAsia="zh-CN" w:bidi="ar-SA"/>
        </w:rPr>
        <w:t>电量增速高于经济增速</w:t>
      </w:r>
      <w:r>
        <w:rPr>
          <w:rFonts w:hint="eastAsia" w:ascii="仿宋_GB2312" w:hAnsi="仿宋_GB2312" w:cstheme="minorBidi"/>
          <w:kern w:val="2"/>
          <w:sz w:val="32"/>
          <w:szCs w:val="32"/>
          <w:highlight w:val="none"/>
          <w:lang w:val="en-US" w:eastAsia="zh-CN" w:bidi="ar-SA"/>
        </w:rPr>
        <w:t>，</w:t>
      </w:r>
      <w:r>
        <w:rPr>
          <w:rFonts w:hint="eastAsia" w:ascii="仿宋_GB2312" w:hAnsi="仿宋_GB2312" w:eastAsia="仿宋_GB2312" w:cstheme="minorBidi"/>
          <w:kern w:val="2"/>
          <w:sz w:val="32"/>
          <w:szCs w:val="32"/>
          <w:highlight w:val="none"/>
          <w:lang w:val="en-US" w:eastAsia="zh-CN" w:bidi="ar-SA"/>
        </w:rPr>
        <w:t>弹性系数</w:t>
      </w:r>
      <w:r>
        <w:rPr>
          <w:rFonts w:hint="eastAsia" w:ascii="仿宋_GB2312" w:hAnsi="仿宋_GB2312" w:cstheme="minorBidi"/>
          <w:kern w:val="2"/>
          <w:sz w:val="32"/>
          <w:szCs w:val="32"/>
          <w:highlight w:val="none"/>
          <w:lang w:val="en-US" w:eastAsia="zh-CN" w:bidi="ar-SA"/>
        </w:rPr>
        <w:t>大于</w:t>
      </w:r>
      <w:r>
        <w:rPr>
          <w:rFonts w:hint="eastAsia" w:ascii="仿宋_GB2312" w:hAnsi="仿宋_GB2312" w:eastAsia="仿宋_GB2312" w:cstheme="minorBidi"/>
          <w:kern w:val="2"/>
          <w:sz w:val="32"/>
          <w:szCs w:val="32"/>
          <w:highlight w:val="none"/>
          <w:lang w:val="en-US" w:eastAsia="zh-CN" w:bidi="ar-SA"/>
        </w:rPr>
        <w:t>1；</w:t>
      </w:r>
      <w:r>
        <w:rPr>
          <w:rFonts w:hint="eastAsia" w:ascii="仿宋_GB2312" w:hAnsi="仿宋_GB2312" w:cstheme="minorBidi"/>
          <w:kern w:val="2"/>
          <w:sz w:val="32"/>
          <w:szCs w:val="32"/>
          <w:highlight w:val="none"/>
          <w:lang w:val="en-US" w:eastAsia="zh-CN" w:bidi="ar-SA"/>
        </w:rPr>
        <w:t>在工业化中后期或经济稳定发展阶段，</w:t>
      </w:r>
      <w:r>
        <w:rPr>
          <w:rFonts w:hint="eastAsia" w:ascii="仿宋_GB2312" w:hAnsi="仿宋_GB2312" w:eastAsia="仿宋_GB2312" w:cstheme="minorBidi"/>
          <w:kern w:val="2"/>
          <w:sz w:val="32"/>
          <w:szCs w:val="32"/>
          <w:highlight w:val="none"/>
          <w:lang w:val="en-US" w:eastAsia="zh-CN" w:bidi="ar-SA"/>
        </w:rPr>
        <w:t>弹性系数小于1；</w:t>
      </w:r>
      <w:r>
        <w:rPr>
          <w:rFonts w:hint="eastAsia" w:ascii="仿宋_GB2312" w:hAnsi="仿宋_GB2312" w:cstheme="minorBidi"/>
          <w:kern w:val="2"/>
          <w:sz w:val="32"/>
          <w:szCs w:val="32"/>
          <w:highlight w:val="none"/>
          <w:lang w:val="en-US" w:eastAsia="zh-CN" w:bidi="ar-SA"/>
        </w:rPr>
        <w:t>在经济转型、产业结构调整关键期或遭遇突发事件时，</w:t>
      </w:r>
      <w:r>
        <w:rPr>
          <w:rFonts w:hint="eastAsia" w:ascii="仿宋_GB2312" w:hAnsi="仿宋_GB2312" w:eastAsia="仿宋_GB2312" w:cstheme="minorBidi"/>
          <w:kern w:val="2"/>
          <w:sz w:val="32"/>
          <w:szCs w:val="32"/>
          <w:highlight w:val="none"/>
          <w:lang w:val="en-US" w:eastAsia="zh-CN" w:bidi="ar-SA"/>
        </w:rPr>
        <w:t>电力消费弹性系数波动加剧。</w:t>
      </w:r>
    </w:p>
    <w:p w14:paraId="14E7C52A">
      <w:pPr>
        <w:pStyle w:val="15"/>
        <w:keepNext w:val="0"/>
        <w:keepLines w:val="0"/>
        <w:pageBreakBefore w:val="0"/>
        <w:widowControl w:val="0"/>
        <w:numPr>
          <w:ilvl w:val="0"/>
          <w:numId w:val="0"/>
        </w:numPr>
        <w:shd w:val="clear"/>
        <w:kinsoku/>
        <w:wordWrap/>
        <w:overflowPunct/>
        <w:topLinePunct w:val="0"/>
        <w:autoSpaceDE/>
        <w:autoSpaceDN/>
        <w:bidi w:val="0"/>
        <w:adjustRightInd/>
        <w:snapToGrid/>
        <w:spacing w:after="0" w:line="560" w:lineRule="exact"/>
        <w:ind w:firstLine="643" w:firstLineChars="200"/>
        <w:textAlignment w:val="auto"/>
        <w:outlineLvl w:val="9"/>
        <w:rPr>
          <w:rFonts w:hint="eastAsia" w:ascii="仿宋_GB2312" w:hAnsi="仿宋_GB2312" w:eastAsia="仿宋_GB2312" w:cstheme="minorBidi"/>
          <w:kern w:val="2"/>
          <w:sz w:val="32"/>
          <w:szCs w:val="32"/>
          <w:highlight w:val="none"/>
          <w:lang w:val="en-US" w:eastAsia="zh-CN" w:bidi="ar-SA"/>
        </w:rPr>
      </w:pPr>
      <w:r>
        <w:rPr>
          <w:rFonts w:hint="eastAsia" w:ascii="楷体_GB2312" w:hAnsi="楷体_GB2312" w:eastAsia="楷体_GB2312" w:cs="楷体_GB2312"/>
          <w:b/>
          <w:bCs/>
          <w:color w:val="auto"/>
          <w:kern w:val="2"/>
          <w:sz w:val="32"/>
          <w:szCs w:val="32"/>
          <w:highlight w:val="none"/>
          <w:lang w:val="en-US" w:eastAsia="zh-CN" w:bidi="ar-SA"/>
        </w:rPr>
        <w:t>2、GDP和售电量数据峰值存在时间差。</w:t>
      </w:r>
      <w:r>
        <w:rPr>
          <w:rFonts w:hint="eastAsia" w:ascii="仿宋_GB2312" w:hAnsi="仿宋_GB2312" w:cstheme="minorBidi"/>
          <w:kern w:val="2"/>
          <w:sz w:val="32"/>
          <w:szCs w:val="32"/>
          <w:highlight w:val="none"/>
          <w:lang w:val="en-US" w:eastAsia="zh-CN" w:bidi="ar-SA"/>
        </w:rPr>
        <w:t>从季度数据分析，GDP与售电量峰值分别出现于第3、第4季度。第3季度因气温较高，电量消费达到峰值；第4季度GDP数据显著高于其他季度则主要归因于该季度常包含全年数据的总结调整。</w:t>
      </w:r>
    </w:p>
    <w:p w14:paraId="199A1D5F">
      <w:pPr>
        <w:pageBreakBefore w:val="0"/>
        <w:shd w:val="clear"/>
        <w:kinsoku/>
        <w:wordWrap/>
        <w:overflowPunct/>
        <w:topLinePunct w:val="0"/>
        <w:autoSpaceDE/>
        <w:autoSpaceDN/>
        <w:bidi w:val="0"/>
        <w:adjustRightInd/>
        <w:snapToGrid/>
        <w:spacing w:line="560" w:lineRule="exact"/>
        <w:ind w:left="0" w:leftChars="0" w:firstLine="643" w:firstLineChars="200"/>
        <w:rPr>
          <w:rFonts w:hint="default" w:cs="仿宋_GB2312"/>
          <w:b w:val="0"/>
          <w:bCs w:val="0"/>
          <w:sz w:val="32"/>
          <w:szCs w:val="32"/>
          <w:highlight w:val="none"/>
          <w:lang w:val="en-US" w:eastAsia="zh-CN"/>
        </w:rPr>
      </w:pPr>
      <w:r>
        <w:rPr>
          <w:rFonts w:hint="eastAsia" w:ascii="楷体_GB2312" w:hAnsi="楷体_GB2312" w:eastAsia="楷体_GB2312" w:cs="楷体_GB2312"/>
          <w:b/>
          <w:bCs/>
          <w:color w:val="auto"/>
          <w:kern w:val="2"/>
          <w:sz w:val="32"/>
          <w:szCs w:val="32"/>
          <w:highlight w:val="none"/>
          <w:lang w:val="en-US" w:eastAsia="zh-CN" w:bidi="ar-SA"/>
        </w:rPr>
        <w:t>3、调温负荷是影响电力消费弹性系数的关键因素。</w:t>
      </w:r>
      <w:r>
        <w:rPr>
          <w:rFonts w:hint="eastAsia" w:cs="仿宋_GB2312"/>
          <w:b w:val="0"/>
          <w:bCs w:val="0"/>
          <w:sz w:val="32"/>
          <w:szCs w:val="32"/>
          <w:highlight w:val="none"/>
          <w:lang w:val="en-US" w:eastAsia="zh-CN"/>
        </w:rPr>
        <w:t xml:space="preserve">受极端天气影响，上海调温负荷呈增长态势，推动售电量增幅进一步扩大，但由于调温负荷并未直接影响GDP，对GDP贡献有限，因此，调温负荷是影响电力消费弹性系数波动的关键因素。  </w:t>
      </w:r>
    </w:p>
    <w:p w14:paraId="765EC652">
      <w:pPr>
        <w:pageBreakBefore w:val="0"/>
        <w:shd w:val="clear"/>
        <w:kinsoku/>
        <w:wordWrap/>
        <w:overflowPunct/>
        <w:topLinePunct w:val="0"/>
        <w:autoSpaceDE/>
        <w:autoSpaceDN/>
        <w:bidi w:val="0"/>
        <w:adjustRightInd/>
        <w:snapToGrid/>
        <w:spacing w:line="560" w:lineRule="exact"/>
        <w:rPr>
          <w:rFonts w:hint="eastAsia" w:cs="仿宋_GB2312"/>
          <w:b w:val="0"/>
          <w:bCs w:val="0"/>
          <w:kern w:val="2"/>
          <w:sz w:val="32"/>
          <w:szCs w:val="32"/>
          <w:highlight w:val="none"/>
          <w:lang w:val="en-US" w:eastAsia="zh-CN" w:bidi="ar-SA"/>
        </w:rPr>
      </w:pPr>
      <w:r>
        <w:rPr>
          <w:rFonts w:hint="eastAsia" w:ascii="楷体_GB2312" w:hAnsi="楷体_GB2312" w:eastAsia="楷体_GB2312" w:cs="楷体_GB2312"/>
          <w:b/>
          <w:bCs/>
          <w:color w:val="auto"/>
          <w:kern w:val="2"/>
          <w:sz w:val="32"/>
          <w:szCs w:val="32"/>
          <w:highlight w:val="none"/>
          <w:lang w:val="en-US" w:eastAsia="zh-CN" w:bidi="ar-SA"/>
        </w:rPr>
        <w:t>4、电能替代力度加强，对售电量、GDP影响存在偏差。</w:t>
      </w:r>
      <w:r>
        <w:rPr>
          <w:rFonts w:hint="eastAsia" w:cs="仿宋_GB2312"/>
          <w:b w:val="0"/>
          <w:bCs w:val="0"/>
          <w:kern w:val="2"/>
          <w:sz w:val="32"/>
          <w:szCs w:val="32"/>
          <w:highlight w:val="none"/>
          <w:lang w:val="en-US" w:eastAsia="zh-CN" w:bidi="ar-SA"/>
        </w:rPr>
        <w:t>在工业生产、交通运输等关键领域，电气化水平稳中有升，终端能源消费整体逐步迈向清洁化，带动售电量大幅增长。但与此同时，可能会对燃油汽车等传统行业产生削弱作用，导致产业增加值在行业间转移。</w:t>
      </w:r>
    </w:p>
    <w:p w14:paraId="0DB59C83">
      <w:pPr>
        <w:pageBreakBefore w:val="0"/>
        <w:shd w:val="clear"/>
        <w:kinsoku/>
        <w:wordWrap/>
        <w:overflowPunct/>
        <w:topLinePunct w:val="0"/>
        <w:autoSpaceDE/>
        <w:autoSpaceDN/>
        <w:bidi w:val="0"/>
        <w:adjustRightInd/>
        <w:snapToGrid/>
        <w:spacing w:line="560" w:lineRule="exact"/>
        <w:rPr>
          <w:rFonts w:hint="default" w:ascii="仿宋_GB2312" w:hAnsi="仿宋_GB2312" w:eastAsia="仿宋_GB2312" w:cs="仿宋_GB2312"/>
          <w:b w:val="0"/>
          <w:bCs w:val="0"/>
          <w:sz w:val="32"/>
          <w:szCs w:val="32"/>
          <w:highlight w:val="none"/>
          <w:lang w:val="en-US" w:eastAsia="zh-CN"/>
        </w:rPr>
      </w:pPr>
      <w:r>
        <w:rPr>
          <w:rFonts w:hint="eastAsia" w:ascii="楷体_GB2312" w:hAnsi="楷体_GB2312" w:eastAsia="楷体_GB2312" w:cs="楷体_GB2312"/>
          <w:b/>
          <w:bCs/>
          <w:color w:val="auto"/>
          <w:kern w:val="2"/>
          <w:sz w:val="32"/>
          <w:szCs w:val="32"/>
          <w:highlight w:val="none"/>
          <w:lang w:val="en-US" w:eastAsia="zh-CN" w:bidi="ar-SA"/>
        </w:rPr>
        <w:t>5、新兴业态大量涌现，成为售电量增长的新动力源。</w:t>
      </w:r>
      <w:r>
        <w:rPr>
          <w:rFonts w:hint="eastAsia" w:cs="仿宋_GB2312"/>
          <w:b w:val="0"/>
          <w:bCs w:val="0"/>
          <w:sz w:val="32"/>
          <w:szCs w:val="32"/>
          <w:highlight w:val="none"/>
          <w:lang w:val="en-US" w:eastAsia="zh-CN"/>
        </w:rPr>
        <w:t>经济结构转型正有力推动制造业向高质量发展迈进，其中，以人工智能和数据中心为代表的新兴业态因具备高算力需求、电力成本占比大等特点，成为售电量增长的重要驱动力。</w:t>
      </w:r>
    </w:p>
    <w:sectPr>
      <w:footerReference r:id="rId5" w:type="default"/>
      <w:pgSz w:w="11906" w:h="16838"/>
      <w:pgMar w:top="1440" w:right="1800" w:bottom="1440" w:left="1800" w:header="851" w:footer="992" w:gutter="0"/>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embedRegular r:id="rId1" w:fontKey="{72AC9F6E-AEFB-4246-8E2F-61CBB475AA2A}"/>
  </w:font>
  <w:font w:name="Calibri Light">
    <w:panose1 w:val="020F0302020204030204"/>
    <w:charset w:val="00"/>
    <w:family w:val="auto"/>
    <w:pitch w:val="default"/>
    <w:sig w:usb0="E4002EFF" w:usb1="C200247B" w:usb2="00000009" w:usb3="00000000" w:csb0="200001FF" w:csb1="00000000"/>
  </w:font>
  <w:font w:name="方正楷体_GBK">
    <w:panose1 w:val="02000000000000000000"/>
    <w:charset w:val="86"/>
    <w:family w:val="script"/>
    <w:pitch w:val="default"/>
    <w:sig w:usb0="800002BF" w:usb1="38CF7CFA" w:usb2="00000016" w:usb3="00000000" w:csb0="00040000" w:csb1="00000000"/>
  </w:font>
  <w:font w:name="方正仿宋_GBK">
    <w:panose1 w:val="02000000000000000000"/>
    <w:charset w:val="86"/>
    <w:family w:val="script"/>
    <w:pitch w:val="default"/>
    <w:sig w:usb0="A00002BF" w:usb1="38CF7CFA" w:usb2="00082016" w:usb3="00000000" w:csb0="00040001" w:csb1="00000000"/>
  </w:font>
  <w:font w:name="方正小标宋_GBK">
    <w:panose1 w:val="02000000000000000000"/>
    <w:charset w:val="86"/>
    <w:family w:val="script"/>
    <w:pitch w:val="default"/>
    <w:sig w:usb0="A00002BF" w:usb1="38CF7CFA" w:usb2="00082016" w:usb3="00000000" w:csb0="00040001" w:csb1="00000000"/>
  </w:font>
  <w:font w:name="方正小标宋简体">
    <w:panose1 w:val="02000000000000000000"/>
    <w:charset w:val="86"/>
    <w:family w:val="auto"/>
    <w:pitch w:val="default"/>
    <w:sig w:usb0="00000001" w:usb1="08000000" w:usb2="00000000" w:usb3="00000000" w:csb0="00040000" w:csb1="00000000"/>
    <w:embedRegular r:id="rId2" w:fontKey="{66C76FA7-D3D4-4D60-B30B-5EBAA75F1BC7}"/>
  </w:font>
  <w:font w:name="楷体">
    <w:panose1 w:val="02010609060101010101"/>
    <w:charset w:val="86"/>
    <w:family w:val="auto"/>
    <w:pitch w:val="default"/>
    <w:sig w:usb0="800002BF" w:usb1="38CF7CFA" w:usb2="00000016" w:usb3="00000000" w:csb0="00040001" w:csb1="00000000"/>
    <w:embedRegular r:id="rId3" w:fontKey="{D52A68E0-F12C-4D24-8357-727CD7F0D53D}"/>
  </w:font>
  <w:font w:name="楷体_GB2312">
    <w:panose1 w:val="02010609030101010101"/>
    <w:charset w:val="86"/>
    <w:family w:val="modern"/>
    <w:pitch w:val="default"/>
    <w:sig w:usb0="00000001" w:usb1="080E0000" w:usb2="00000000" w:usb3="00000000" w:csb0="00040000" w:csb1="00000000"/>
    <w:embedRegular r:id="rId4" w:fontKey="{C7D76F60-9367-4A04-9E30-79942473AA33}"/>
  </w:font>
  <w:font w:name="微软雅黑">
    <w:panose1 w:val="020B0503020204020204"/>
    <w:charset w:val="86"/>
    <w:family w:val="auto"/>
    <w:pitch w:val="default"/>
    <w:sig w:usb0="80000287" w:usb1="2ACF3C50" w:usb2="00000016" w:usb3="00000000" w:csb0="0004001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90C8A7">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E012C4">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10E012C4">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40" w:lineRule="auto"/>
        <w:ind w:firstLine="640"/>
      </w:pPr>
      <w:r>
        <w:separator/>
      </w:r>
    </w:p>
  </w:footnote>
  <w:footnote w:type="continuationSeparator" w:id="3">
    <w:p>
      <w:pPr>
        <w:spacing w:line="240" w:lineRule="auto"/>
        <w:ind w:firstLine="640"/>
      </w:pPr>
      <w:r>
        <w:continuationSeparator/>
      </w:r>
    </w:p>
  </w:footnote>
  <w:footnote w:id="0">
    <w:p w14:paraId="0D33F343">
      <w:pPr>
        <w:pStyle w:val="13"/>
        <w:keepNext w:val="0"/>
        <w:keepLines w:val="0"/>
        <w:pageBreakBefore w:val="0"/>
        <w:widowControl w:val="0"/>
        <w:kinsoku/>
        <w:wordWrap/>
        <w:overflowPunct/>
        <w:topLinePunct w:val="0"/>
        <w:bidi w:val="0"/>
        <w:adjustRightInd/>
        <w:snapToGrid w:val="0"/>
        <w:spacing w:line="240" w:lineRule="auto"/>
        <w:textAlignment w:val="auto"/>
        <w:rPr>
          <w:rFonts w:hint="eastAsia" w:eastAsia="仿宋_GB2312"/>
          <w:sz w:val="20"/>
          <w:szCs w:val="24"/>
          <w:lang w:eastAsia="zh-CN"/>
        </w:rPr>
      </w:pPr>
      <w:r>
        <w:rPr>
          <w:rStyle w:val="19"/>
          <w:sz w:val="20"/>
          <w:szCs w:val="24"/>
        </w:rPr>
        <w:footnoteRef/>
      </w:r>
      <w:r>
        <w:rPr>
          <w:rFonts w:hint="eastAsia"/>
          <w:sz w:val="20"/>
          <w:szCs w:val="24"/>
        </w:rPr>
        <w:t>EFLOPS是指每秒百亿亿次浮点运算次数</w:t>
      </w:r>
      <w:r>
        <w:rPr>
          <w:rFonts w:hint="eastAsia"/>
          <w:sz w:val="20"/>
          <w:szCs w:val="24"/>
          <w:lang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421E1"/>
    <w:multiLevelType w:val="singleLevel"/>
    <w:tmpl w:val="826421E1"/>
    <w:lvl w:ilvl="0" w:tentative="0">
      <w:start w:val="1"/>
      <w:numFmt w:val="chineseCounting"/>
      <w:suff w:val="nothing"/>
      <w:lvlText w:val="%1、"/>
      <w:lvlJc w:val="left"/>
      <w:rPr>
        <w:rFonts w:hint="eastAsia"/>
      </w:rPr>
    </w:lvl>
  </w:abstractNum>
  <w:abstractNum w:abstractNumId="1">
    <w:nsid w:val="A0060334"/>
    <w:multiLevelType w:val="singleLevel"/>
    <w:tmpl w:val="A0060334"/>
    <w:lvl w:ilvl="0" w:tentative="0">
      <w:start w:val="1"/>
      <w:numFmt w:val="chineseCounting"/>
      <w:suff w:val="nothing"/>
      <w:lvlText w:val="（%1）"/>
      <w:lvlJc w:val="left"/>
      <w:rPr>
        <w:rFonts w:hint="eastAsia"/>
      </w:rPr>
    </w:lvl>
  </w:abstractNum>
  <w:abstractNum w:abstractNumId="2">
    <w:nsid w:val="0F9F7E1C"/>
    <w:multiLevelType w:val="multilevel"/>
    <w:tmpl w:val="0F9F7E1C"/>
    <w:lvl w:ilvl="0" w:tentative="0">
      <w:start w:val="1"/>
      <w:numFmt w:val="decimal"/>
      <w:pStyle w:val="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F94220B"/>
    <w:multiLevelType w:val="singleLevel"/>
    <w:tmpl w:val="3F94220B"/>
    <w:lvl w:ilvl="0" w:tentative="0">
      <w:start w:val="1"/>
      <w:numFmt w:val="chineseCounting"/>
      <w:suff w:val="nothing"/>
      <w:lvlText w:val="（%1）"/>
      <w:lvlJc w:val="left"/>
      <w:rPr>
        <w:rFonts w:hint="eastAsia"/>
      </w:rPr>
    </w:lvl>
  </w:abstractNum>
  <w:abstractNum w:abstractNumId="4">
    <w:nsid w:val="4524452F"/>
    <w:multiLevelType w:val="multilevel"/>
    <w:tmpl w:val="4524452F"/>
    <w:lvl w:ilvl="0" w:tentative="0">
      <w:start w:val="1"/>
      <w:numFmt w:val="chineseCountingThousand"/>
      <w:pStyle w:val="3"/>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B9A0AC2"/>
    <w:multiLevelType w:val="multilevel"/>
    <w:tmpl w:val="4B9A0AC2"/>
    <w:lvl w:ilvl="0" w:tentative="0">
      <w:start w:val="1"/>
      <w:numFmt w:val="chineseCountingThousand"/>
      <w:pStyle w:val="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79A591B"/>
    <w:multiLevelType w:val="multilevel"/>
    <w:tmpl w:val="679A591B"/>
    <w:lvl w:ilvl="0" w:tentative="0">
      <w:start w:val="1"/>
      <w:numFmt w:val="decimal"/>
      <w:pStyle w:val="5"/>
      <w:lvlText w:val="%1）"/>
      <w:lvlJc w:val="left"/>
      <w:pPr>
        <w:ind w:left="640" w:hanging="440"/>
      </w:pPr>
      <w:rPr>
        <w:rFonts w:hint="eastAsia"/>
      </w:rPr>
    </w:lvl>
    <w:lvl w:ilvl="1" w:tentative="0">
      <w:start w:val="1"/>
      <w:numFmt w:val="lowerLetter"/>
      <w:lvlText w:val="%2)"/>
      <w:lvlJc w:val="left"/>
      <w:pPr>
        <w:ind w:left="1080" w:hanging="440"/>
      </w:pPr>
    </w:lvl>
    <w:lvl w:ilvl="2" w:tentative="0">
      <w:start w:val="1"/>
      <w:numFmt w:val="lowerRoman"/>
      <w:lvlText w:val="%3."/>
      <w:lvlJc w:val="right"/>
      <w:pPr>
        <w:ind w:left="1520" w:hanging="440"/>
      </w:pPr>
    </w:lvl>
    <w:lvl w:ilvl="3" w:tentative="0">
      <w:start w:val="1"/>
      <w:numFmt w:val="decimal"/>
      <w:lvlText w:val="%4."/>
      <w:lvlJc w:val="left"/>
      <w:pPr>
        <w:ind w:left="1960" w:hanging="440"/>
      </w:pPr>
    </w:lvl>
    <w:lvl w:ilvl="4" w:tentative="0">
      <w:start w:val="1"/>
      <w:numFmt w:val="lowerLetter"/>
      <w:lvlText w:val="%5)"/>
      <w:lvlJc w:val="left"/>
      <w:pPr>
        <w:ind w:left="2400" w:hanging="440"/>
      </w:pPr>
    </w:lvl>
    <w:lvl w:ilvl="5" w:tentative="0">
      <w:start w:val="1"/>
      <w:numFmt w:val="lowerRoman"/>
      <w:lvlText w:val="%6."/>
      <w:lvlJc w:val="right"/>
      <w:pPr>
        <w:ind w:left="2840" w:hanging="440"/>
      </w:pPr>
    </w:lvl>
    <w:lvl w:ilvl="6" w:tentative="0">
      <w:start w:val="1"/>
      <w:numFmt w:val="decimal"/>
      <w:lvlText w:val="%7."/>
      <w:lvlJc w:val="left"/>
      <w:pPr>
        <w:ind w:left="3280" w:hanging="440"/>
      </w:pPr>
    </w:lvl>
    <w:lvl w:ilvl="7" w:tentative="0">
      <w:start w:val="1"/>
      <w:numFmt w:val="lowerLetter"/>
      <w:lvlText w:val="%8)"/>
      <w:lvlJc w:val="left"/>
      <w:pPr>
        <w:ind w:left="3720" w:hanging="440"/>
      </w:pPr>
    </w:lvl>
    <w:lvl w:ilvl="8" w:tentative="0">
      <w:start w:val="1"/>
      <w:numFmt w:val="lowerRoman"/>
      <w:lvlText w:val="%9."/>
      <w:lvlJc w:val="right"/>
      <w:pPr>
        <w:ind w:left="4160" w:hanging="440"/>
      </w:pPr>
    </w:lvl>
  </w:abstractNum>
  <w:num w:numId="1">
    <w:abstractNumId w:val="5"/>
  </w:num>
  <w:num w:numId="2">
    <w:abstractNumId w:val="4"/>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g4YTgxYWM1ZGI3M2Q2ODg5ZDE1YTVlNDE2ZDFlZTYifQ=="/>
  </w:docVars>
  <w:rsids>
    <w:rsidRoot w:val="00000000"/>
    <w:rsid w:val="0002561E"/>
    <w:rsid w:val="00186BF0"/>
    <w:rsid w:val="001A2968"/>
    <w:rsid w:val="003357D8"/>
    <w:rsid w:val="003720FB"/>
    <w:rsid w:val="003811C5"/>
    <w:rsid w:val="005A7208"/>
    <w:rsid w:val="005F037B"/>
    <w:rsid w:val="00A0074E"/>
    <w:rsid w:val="00A67223"/>
    <w:rsid w:val="00AD7338"/>
    <w:rsid w:val="00CB1EB4"/>
    <w:rsid w:val="00CF2F6B"/>
    <w:rsid w:val="00FE4037"/>
    <w:rsid w:val="01012C4C"/>
    <w:rsid w:val="01064C9A"/>
    <w:rsid w:val="012810B4"/>
    <w:rsid w:val="01284C10"/>
    <w:rsid w:val="013C06BC"/>
    <w:rsid w:val="015D17F4"/>
    <w:rsid w:val="015E3B2D"/>
    <w:rsid w:val="017C6D0A"/>
    <w:rsid w:val="018067FB"/>
    <w:rsid w:val="01826A17"/>
    <w:rsid w:val="01877B89"/>
    <w:rsid w:val="018856AF"/>
    <w:rsid w:val="01C833A8"/>
    <w:rsid w:val="01DD59FB"/>
    <w:rsid w:val="01EE19B6"/>
    <w:rsid w:val="02023253"/>
    <w:rsid w:val="022C6982"/>
    <w:rsid w:val="023D46EC"/>
    <w:rsid w:val="025D6B3C"/>
    <w:rsid w:val="026942CA"/>
    <w:rsid w:val="029640FE"/>
    <w:rsid w:val="02A66735"/>
    <w:rsid w:val="02AE1145"/>
    <w:rsid w:val="02BA6BA7"/>
    <w:rsid w:val="02DD1A2B"/>
    <w:rsid w:val="03135B95"/>
    <w:rsid w:val="031713E0"/>
    <w:rsid w:val="0328714A"/>
    <w:rsid w:val="032A555E"/>
    <w:rsid w:val="033244A1"/>
    <w:rsid w:val="03411FB9"/>
    <w:rsid w:val="0342153D"/>
    <w:rsid w:val="034F3528"/>
    <w:rsid w:val="03A1754A"/>
    <w:rsid w:val="03A4318B"/>
    <w:rsid w:val="03BB7FBE"/>
    <w:rsid w:val="03CF75C5"/>
    <w:rsid w:val="03D352CC"/>
    <w:rsid w:val="03E57195"/>
    <w:rsid w:val="03EE0393"/>
    <w:rsid w:val="03EE3EEF"/>
    <w:rsid w:val="03FF60FC"/>
    <w:rsid w:val="040C414F"/>
    <w:rsid w:val="04244152"/>
    <w:rsid w:val="04387860"/>
    <w:rsid w:val="04504BAA"/>
    <w:rsid w:val="045556A5"/>
    <w:rsid w:val="046E5030"/>
    <w:rsid w:val="048A42E4"/>
    <w:rsid w:val="049C7DEF"/>
    <w:rsid w:val="04A9250C"/>
    <w:rsid w:val="04B213C1"/>
    <w:rsid w:val="04B2316F"/>
    <w:rsid w:val="04B70785"/>
    <w:rsid w:val="04B769D7"/>
    <w:rsid w:val="04B904EE"/>
    <w:rsid w:val="04BE09FE"/>
    <w:rsid w:val="04C3537C"/>
    <w:rsid w:val="04F03434"/>
    <w:rsid w:val="04F94079"/>
    <w:rsid w:val="057116D6"/>
    <w:rsid w:val="05D830A9"/>
    <w:rsid w:val="05EC0902"/>
    <w:rsid w:val="05F81055"/>
    <w:rsid w:val="05F872A7"/>
    <w:rsid w:val="061340E1"/>
    <w:rsid w:val="06444FA2"/>
    <w:rsid w:val="0648365F"/>
    <w:rsid w:val="065A5D8D"/>
    <w:rsid w:val="066E1317"/>
    <w:rsid w:val="068113B7"/>
    <w:rsid w:val="0685227F"/>
    <w:rsid w:val="069C40D7"/>
    <w:rsid w:val="06D80E87"/>
    <w:rsid w:val="06D870D9"/>
    <w:rsid w:val="07181283"/>
    <w:rsid w:val="073B0791"/>
    <w:rsid w:val="07481B68"/>
    <w:rsid w:val="0764271A"/>
    <w:rsid w:val="07754928"/>
    <w:rsid w:val="078C6F1F"/>
    <w:rsid w:val="078D1B6A"/>
    <w:rsid w:val="07A56FBB"/>
    <w:rsid w:val="07AF3996"/>
    <w:rsid w:val="07D653C6"/>
    <w:rsid w:val="07DC53E1"/>
    <w:rsid w:val="07DE427B"/>
    <w:rsid w:val="07E13D6B"/>
    <w:rsid w:val="07EA70C4"/>
    <w:rsid w:val="07F817E1"/>
    <w:rsid w:val="080F08D8"/>
    <w:rsid w:val="0815039F"/>
    <w:rsid w:val="0827549B"/>
    <w:rsid w:val="082A5712"/>
    <w:rsid w:val="08362309"/>
    <w:rsid w:val="0854453D"/>
    <w:rsid w:val="08557D0F"/>
    <w:rsid w:val="08901A19"/>
    <w:rsid w:val="08AE59AD"/>
    <w:rsid w:val="08DE56FE"/>
    <w:rsid w:val="08E04023"/>
    <w:rsid w:val="0917393C"/>
    <w:rsid w:val="091F5FD9"/>
    <w:rsid w:val="092108C3"/>
    <w:rsid w:val="094209DC"/>
    <w:rsid w:val="094822F4"/>
    <w:rsid w:val="095163D2"/>
    <w:rsid w:val="095B1F0F"/>
    <w:rsid w:val="095E1B17"/>
    <w:rsid w:val="098F7F23"/>
    <w:rsid w:val="09B039F5"/>
    <w:rsid w:val="09B47989"/>
    <w:rsid w:val="09B90AFC"/>
    <w:rsid w:val="09CF47C3"/>
    <w:rsid w:val="09D973F0"/>
    <w:rsid w:val="0A00672A"/>
    <w:rsid w:val="0A5E2236"/>
    <w:rsid w:val="0A821835"/>
    <w:rsid w:val="0A99023A"/>
    <w:rsid w:val="0A9D21CB"/>
    <w:rsid w:val="0AA96DC2"/>
    <w:rsid w:val="0AC736EC"/>
    <w:rsid w:val="0ADB7197"/>
    <w:rsid w:val="0AE53B72"/>
    <w:rsid w:val="0B0B182B"/>
    <w:rsid w:val="0B211A41"/>
    <w:rsid w:val="0B224DC6"/>
    <w:rsid w:val="0B3C50D3"/>
    <w:rsid w:val="0B6131F9"/>
    <w:rsid w:val="0B996E37"/>
    <w:rsid w:val="0B9D7C39"/>
    <w:rsid w:val="0C0A1AE2"/>
    <w:rsid w:val="0C234952"/>
    <w:rsid w:val="0C236E41"/>
    <w:rsid w:val="0C264442"/>
    <w:rsid w:val="0C4F3999"/>
    <w:rsid w:val="0C6244FE"/>
    <w:rsid w:val="0C684A5B"/>
    <w:rsid w:val="0C7156BE"/>
    <w:rsid w:val="0C741652"/>
    <w:rsid w:val="0C7E7DDA"/>
    <w:rsid w:val="0C99751F"/>
    <w:rsid w:val="0CC25F19"/>
    <w:rsid w:val="0CCF6888"/>
    <w:rsid w:val="0CDD6593"/>
    <w:rsid w:val="0CE12418"/>
    <w:rsid w:val="0D006A41"/>
    <w:rsid w:val="0D020A0B"/>
    <w:rsid w:val="0D556D8D"/>
    <w:rsid w:val="0D747D6F"/>
    <w:rsid w:val="0DB51BF5"/>
    <w:rsid w:val="0DB717F6"/>
    <w:rsid w:val="0DDB0848"/>
    <w:rsid w:val="0DDF6F9F"/>
    <w:rsid w:val="0DEB76F2"/>
    <w:rsid w:val="0DF94527"/>
    <w:rsid w:val="0E2826F4"/>
    <w:rsid w:val="0E28409F"/>
    <w:rsid w:val="0E301610"/>
    <w:rsid w:val="0E372937"/>
    <w:rsid w:val="0E43308A"/>
    <w:rsid w:val="0E460CBE"/>
    <w:rsid w:val="0E527771"/>
    <w:rsid w:val="0E5578EB"/>
    <w:rsid w:val="0E9353C9"/>
    <w:rsid w:val="0E984D80"/>
    <w:rsid w:val="0EB13A0E"/>
    <w:rsid w:val="0EB14497"/>
    <w:rsid w:val="0EC22052"/>
    <w:rsid w:val="0ED4462A"/>
    <w:rsid w:val="0EEC54CF"/>
    <w:rsid w:val="0F283D6A"/>
    <w:rsid w:val="0F2954D4"/>
    <w:rsid w:val="0F2C6214"/>
    <w:rsid w:val="0F31382A"/>
    <w:rsid w:val="0F4470B9"/>
    <w:rsid w:val="0F6C6610"/>
    <w:rsid w:val="0FA364D6"/>
    <w:rsid w:val="0FAD5F50"/>
    <w:rsid w:val="0FBF2BE4"/>
    <w:rsid w:val="0FCF1030"/>
    <w:rsid w:val="0FD97D81"/>
    <w:rsid w:val="0FFC1C7D"/>
    <w:rsid w:val="10040748"/>
    <w:rsid w:val="100D394F"/>
    <w:rsid w:val="101F18D4"/>
    <w:rsid w:val="1021564D"/>
    <w:rsid w:val="103A56ED"/>
    <w:rsid w:val="103C2486"/>
    <w:rsid w:val="10417A9D"/>
    <w:rsid w:val="106D0892"/>
    <w:rsid w:val="10795489"/>
    <w:rsid w:val="1083142D"/>
    <w:rsid w:val="109B74C8"/>
    <w:rsid w:val="10B40AE7"/>
    <w:rsid w:val="10D426BF"/>
    <w:rsid w:val="10F845FF"/>
    <w:rsid w:val="110E3E23"/>
    <w:rsid w:val="111020F9"/>
    <w:rsid w:val="113F222E"/>
    <w:rsid w:val="11427629"/>
    <w:rsid w:val="114F7F97"/>
    <w:rsid w:val="115E01DA"/>
    <w:rsid w:val="115F642C"/>
    <w:rsid w:val="11621A79"/>
    <w:rsid w:val="116752E1"/>
    <w:rsid w:val="118E6D12"/>
    <w:rsid w:val="11CB5870"/>
    <w:rsid w:val="11D32976"/>
    <w:rsid w:val="11D54318"/>
    <w:rsid w:val="11D71CE2"/>
    <w:rsid w:val="11DD02B7"/>
    <w:rsid w:val="11E5407E"/>
    <w:rsid w:val="11F03528"/>
    <w:rsid w:val="120F5B59"/>
    <w:rsid w:val="121044FA"/>
    <w:rsid w:val="125F57C6"/>
    <w:rsid w:val="12724C89"/>
    <w:rsid w:val="128A6758"/>
    <w:rsid w:val="12B02CB8"/>
    <w:rsid w:val="12BA7692"/>
    <w:rsid w:val="12D76496"/>
    <w:rsid w:val="12DF7BF2"/>
    <w:rsid w:val="12E33098"/>
    <w:rsid w:val="13053004"/>
    <w:rsid w:val="130B33DB"/>
    <w:rsid w:val="13125FF8"/>
    <w:rsid w:val="13390422"/>
    <w:rsid w:val="13441D7E"/>
    <w:rsid w:val="134C0770"/>
    <w:rsid w:val="135E44C2"/>
    <w:rsid w:val="1367781A"/>
    <w:rsid w:val="13734470"/>
    <w:rsid w:val="13B57476"/>
    <w:rsid w:val="13BB7B66"/>
    <w:rsid w:val="13C92283"/>
    <w:rsid w:val="142969AE"/>
    <w:rsid w:val="143F2545"/>
    <w:rsid w:val="14423DE3"/>
    <w:rsid w:val="14757D15"/>
    <w:rsid w:val="149218D5"/>
    <w:rsid w:val="14BF0C39"/>
    <w:rsid w:val="14C36CD2"/>
    <w:rsid w:val="14C667C2"/>
    <w:rsid w:val="14C8253B"/>
    <w:rsid w:val="14E07884"/>
    <w:rsid w:val="15086DDB"/>
    <w:rsid w:val="151D3DA0"/>
    <w:rsid w:val="15297687"/>
    <w:rsid w:val="159719F9"/>
    <w:rsid w:val="159D7523"/>
    <w:rsid w:val="15AA1C40"/>
    <w:rsid w:val="15CC605B"/>
    <w:rsid w:val="15DA0777"/>
    <w:rsid w:val="15F0445E"/>
    <w:rsid w:val="15FA2BC8"/>
    <w:rsid w:val="16227A29"/>
    <w:rsid w:val="162D4D4B"/>
    <w:rsid w:val="16551BAC"/>
    <w:rsid w:val="166B13D0"/>
    <w:rsid w:val="166E2C6E"/>
    <w:rsid w:val="1672275E"/>
    <w:rsid w:val="1683496B"/>
    <w:rsid w:val="16896078"/>
    <w:rsid w:val="169C66F6"/>
    <w:rsid w:val="169E79F7"/>
    <w:rsid w:val="16B20DAC"/>
    <w:rsid w:val="16D5509D"/>
    <w:rsid w:val="16D57191"/>
    <w:rsid w:val="16DA0614"/>
    <w:rsid w:val="16E6314C"/>
    <w:rsid w:val="171657DF"/>
    <w:rsid w:val="17173305"/>
    <w:rsid w:val="17332C73"/>
    <w:rsid w:val="17946704"/>
    <w:rsid w:val="17A032FB"/>
    <w:rsid w:val="17AC5C82"/>
    <w:rsid w:val="17B7101C"/>
    <w:rsid w:val="17C36FE9"/>
    <w:rsid w:val="17EC5EF1"/>
    <w:rsid w:val="180B10BC"/>
    <w:rsid w:val="18365A0D"/>
    <w:rsid w:val="18477C1A"/>
    <w:rsid w:val="187B1D74"/>
    <w:rsid w:val="187D363C"/>
    <w:rsid w:val="1881312C"/>
    <w:rsid w:val="188D2B7C"/>
    <w:rsid w:val="18987A5A"/>
    <w:rsid w:val="18A1707D"/>
    <w:rsid w:val="18BC23B6"/>
    <w:rsid w:val="18FE2AB5"/>
    <w:rsid w:val="19083AB2"/>
    <w:rsid w:val="19265A82"/>
    <w:rsid w:val="19510D51"/>
    <w:rsid w:val="195D57D8"/>
    <w:rsid w:val="198A7DBF"/>
    <w:rsid w:val="198D3D53"/>
    <w:rsid w:val="199649B5"/>
    <w:rsid w:val="19A846E9"/>
    <w:rsid w:val="19AF3CC9"/>
    <w:rsid w:val="19E219A9"/>
    <w:rsid w:val="19E72882"/>
    <w:rsid w:val="19F03976"/>
    <w:rsid w:val="19F636A6"/>
    <w:rsid w:val="1A0B2D90"/>
    <w:rsid w:val="1A165AF6"/>
    <w:rsid w:val="1A1D0C33"/>
    <w:rsid w:val="1A381F10"/>
    <w:rsid w:val="1A3A6032"/>
    <w:rsid w:val="1A6E5932"/>
    <w:rsid w:val="1A7A6085"/>
    <w:rsid w:val="1A9609E5"/>
    <w:rsid w:val="1AAC38DB"/>
    <w:rsid w:val="1ACB068F"/>
    <w:rsid w:val="1ADD6614"/>
    <w:rsid w:val="1AE94FB9"/>
    <w:rsid w:val="1B040045"/>
    <w:rsid w:val="1B285AE1"/>
    <w:rsid w:val="1B2A7AAB"/>
    <w:rsid w:val="1B3A7CC9"/>
    <w:rsid w:val="1B481CDF"/>
    <w:rsid w:val="1B4B5C73"/>
    <w:rsid w:val="1B6D42C0"/>
    <w:rsid w:val="1B9B3776"/>
    <w:rsid w:val="1B9D369F"/>
    <w:rsid w:val="1BBB0703"/>
    <w:rsid w:val="1BBE4697"/>
    <w:rsid w:val="1BEC2FB3"/>
    <w:rsid w:val="1BF61706"/>
    <w:rsid w:val="1C147B66"/>
    <w:rsid w:val="1C4921B3"/>
    <w:rsid w:val="1C4E77C9"/>
    <w:rsid w:val="1C6C5EA1"/>
    <w:rsid w:val="1C8C6544"/>
    <w:rsid w:val="1C93342E"/>
    <w:rsid w:val="1CA62086"/>
    <w:rsid w:val="1CAE3636"/>
    <w:rsid w:val="1CBF3D37"/>
    <w:rsid w:val="1CD35F20"/>
    <w:rsid w:val="1CDD374B"/>
    <w:rsid w:val="1CF55C74"/>
    <w:rsid w:val="1CF77E61"/>
    <w:rsid w:val="1CFC0FD3"/>
    <w:rsid w:val="1D041320"/>
    <w:rsid w:val="1D152095"/>
    <w:rsid w:val="1D295B40"/>
    <w:rsid w:val="1D310FFC"/>
    <w:rsid w:val="1D320E99"/>
    <w:rsid w:val="1D3C0749"/>
    <w:rsid w:val="1D3F5364"/>
    <w:rsid w:val="1D484219"/>
    <w:rsid w:val="1D682B0D"/>
    <w:rsid w:val="1D750D86"/>
    <w:rsid w:val="1D8D4321"/>
    <w:rsid w:val="1D90796E"/>
    <w:rsid w:val="1DCF0496"/>
    <w:rsid w:val="1DD849C1"/>
    <w:rsid w:val="1DFB128B"/>
    <w:rsid w:val="1DFC3255"/>
    <w:rsid w:val="1E040A19"/>
    <w:rsid w:val="1E0A7720"/>
    <w:rsid w:val="1E124827"/>
    <w:rsid w:val="1E177358"/>
    <w:rsid w:val="1E401394"/>
    <w:rsid w:val="1E6226ED"/>
    <w:rsid w:val="1E7401ED"/>
    <w:rsid w:val="1E8B317F"/>
    <w:rsid w:val="1E8D5200"/>
    <w:rsid w:val="1EA00084"/>
    <w:rsid w:val="1EA47B74"/>
    <w:rsid w:val="1EFB52BB"/>
    <w:rsid w:val="1F010B23"/>
    <w:rsid w:val="1F14238D"/>
    <w:rsid w:val="1F212F6B"/>
    <w:rsid w:val="1F2962CC"/>
    <w:rsid w:val="1F413615"/>
    <w:rsid w:val="1F8667F3"/>
    <w:rsid w:val="1F882FF2"/>
    <w:rsid w:val="1F9C1D8C"/>
    <w:rsid w:val="1F9D6527"/>
    <w:rsid w:val="1FC3227C"/>
    <w:rsid w:val="1FD83731"/>
    <w:rsid w:val="1FDE70B6"/>
    <w:rsid w:val="1FEC17D3"/>
    <w:rsid w:val="20112FE8"/>
    <w:rsid w:val="202C7E22"/>
    <w:rsid w:val="2040567B"/>
    <w:rsid w:val="2043516B"/>
    <w:rsid w:val="206D2C09"/>
    <w:rsid w:val="207A1075"/>
    <w:rsid w:val="20835145"/>
    <w:rsid w:val="209C69D1"/>
    <w:rsid w:val="20B120D5"/>
    <w:rsid w:val="20B834A0"/>
    <w:rsid w:val="20C229C0"/>
    <w:rsid w:val="20E46E5A"/>
    <w:rsid w:val="20F621DE"/>
    <w:rsid w:val="21181177"/>
    <w:rsid w:val="21442F49"/>
    <w:rsid w:val="214B4867"/>
    <w:rsid w:val="2171093F"/>
    <w:rsid w:val="2174214F"/>
    <w:rsid w:val="2188552B"/>
    <w:rsid w:val="218B501C"/>
    <w:rsid w:val="218E3660"/>
    <w:rsid w:val="21CB1DC3"/>
    <w:rsid w:val="21E34E02"/>
    <w:rsid w:val="21F04E90"/>
    <w:rsid w:val="220646A2"/>
    <w:rsid w:val="220B3A67"/>
    <w:rsid w:val="2217065D"/>
    <w:rsid w:val="2228286B"/>
    <w:rsid w:val="222D7E81"/>
    <w:rsid w:val="2230171F"/>
    <w:rsid w:val="22624FE9"/>
    <w:rsid w:val="22635651"/>
    <w:rsid w:val="22765384"/>
    <w:rsid w:val="227C70F7"/>
    <w:rsid w:val="228467AC"/>
    <w:rsid w:val="22851A6B"/>
    <w:rsid w:val="22B67E76"/>
    <w:rsid w:val="22C407E5"/>
    <w:rsid w:val="22D4654E"/>
    <w:rsid w:val="22D8603F"/>
    <w:rsid w:val="22E4543C"/>
    <w:rsid w:val="230C3F3A"/>
    <w:rsid w:val="232079E6"/>
    <w:rsid w:val="2330604E"/>
    <w:rsid w:val="23490CEA"/>
    <w:rsid w:val="23753A55"/>
    <w:rsid w:val="239F2DEC"/>
    <w:rsid w:val="23A2342C"/>
    <w:rsid w:val="23B343B6"/>
    <w:rsid w:val="23C6058D"/>
    <w:rsid w:val="23C62F85"/>
    <w:rsid w:val="23C860B3"/>
    <w:rsid w:val="23CA5FCE"/>
    <w:rsid w:val="23D20CE0"/>
    <w:rsid w:val="24170DE9"/>
    <w:rsid w:val="243454F7"/>
    <w:rsid w:val="246D34AA"/>
    <w:rsid w:val="24727DCD"/>
    <w:rsid w:val="24C3687B"/>
    <w:rsid w:val="24D230C4"/>
    <w:rsid w:val="25050C41"/>
    <w:rsid w:val="25104717"/>
    <w:rsid w:val="253C273A"/>
    <w:rsid w:val="254479BB"/>
    <w:rsid w:val="2565678E"/>
    <w:rsid w:val="257F6C45"/>
    <w:rsid w:val="25973F8F"/>
    <w:rsid w:val="25983863"/>
    <w:rsid w:val="25DC5E46"/>
    <w:rsid w:val="26284BE7"/>
    <w:rsid w:val="26342905"/>
    <w:rsid w:val="265A6D6B"/>
    <w:rsid w:val="26760048"/>
    <w:rsid w:val="267A740D"/>
    <w:rsid w:val="26887D7C"/>
    <w:rsid w:val="26A10E3D"/>
    <w:rsid w:val="26BE554B"/>
    <w:rsid w:val="26C62A86"/>
    <w:rsid w:val="26C64400"/>
    <w:rsid w:val="26CC7C68"/>
    <w:rsid w:val="26FA337A"/>
    <w:rsid w:val="271B474C"/>
    <w:rsid w:val="273121C1"/>
    <w:rsid w:val="2742617D"/>
    <w:rsid w:val="275B0FEC"/>
    <w:rsid w:val="277F117F"/>
    <w:rsid w:val="27843E9F"/>
    <w:rsid w:val="2790513A"/>
    <w:rsid w:val="27C44DE4"/>
    <w:rsid w:val="27E40FE2"/>
    <w:rsid w:val="27F9431E"/>
    <w:rsid w:val="28013942"/>
    <w:rsid w:val="280B47C0"/>
    <w:rsid w:val="2812229C"/>
    <w:rsid w:val="282D2989"/>
    <w:rsid w:val="283D279D"/>
    <w:rsid w:val="28897026"/>
    <w:rsid w:val="288A1B89"/>
    <w:rsid w:val="289424C4"/>
    <w:rsid w:val="28980B5B"/>
    <w:rsid w:val="28996270"/>
    <w:rsid w:val="28CF3A2F"/>
    <w:rsid w:val="28E05C4D"/>
    <w:rsid w:val="28EC45F2"/>
    <w:rsid w:val="29001513"/>
    <w:rsid w:val="29051210"/>
    <w:rsid w:val="29064F88"/>
    <w:rsid w:val="290F208E"/>
    <w:rsid w:val="2910005E"/>
    <w:rsid w:val="29316297"/>
    <w:rsid w:val="29361D11"/>
    <w:rsid w:val="293E0BC6"/>
    <w:rsid w:val="29442535"/>
    <w:rsid w:val="295977AD"/>
    <w:rsid w:val="297D16EE"/>
    <w:rsid w:val="29862A02"/>
    <w:rsid w:val="29B639C9"/>
    <w:rsid w:val="29CD21FE"/>
    <w:rsid w:val="29D76730"/>
    <w:rsid w:val="29E66BFE"/>
    <w:rsid w:val="29EC0622"/>
    <w:rsid w:val="29F52ED4"/>
    <w:rsid w:val="2A0023E9"/>
    <w:rsid w:val="2A005E7B"/>
    <w:rsid w:val="2A3D0E7D"/>
    <w:rsid w:val="2A4915D0"/>
    <w:rsid w:val="2A584A44"/>
    <w:rsid w:val="2A786F68"/>
    <w:rsid w:val="2A7F0B94"/>
    <w:rsid w:val="2A88659C"/>
    <w:rsid w:val="2A8B1BE9"/>
    <w:rsid w:val="2AAD7DB1"/>
    <w:rsid w:val="2ABB7135"/>
    <w:rsid w:val="2AD96DF8"/>
    <w:rsid w:val="2AE65071"/>
    <w:rsid w:val="2AE80DE9"/>
    <w:rsid w:val="2B0D0850"/>
    <w:rsid w:val="2B2A7653"/>
    <w:rsid w:val="2B4759C9"/>
    <w:rsid w:val="2B5B780D"/>
    <w:rsid w:val="2B634913"/>
    <w:rsid w:val="2B674404"/>
    <w:rsid w:val="2B724B56"/>
    <w:rsid w:val="2B75442B"/>
    <w:rsid w:val="2B786611"/>
    <w:rsid w:val="2B88437A"/>
    <w:rsid w:val="2B97636B"/>
    <w:rsid w:val="2B9B22FF"/>
    <w:rsid w:val="2BAF7B59"/>
    <w:rsid w:val="2BB67139"/>
    <w:rsid w:val="2C025EDA"/>
    <w:rsid w:val="2C521694"/>
    <w:rsid w:val="2C5D65DB"/>
    <w:rsid w:val="2C6957D3"/>
    <w:rsid w:val="2C752B50"/>
    <w:rsid w:val="2C884632"/>
    <w:rsid w:val="2CBC6C60"/>
    <w:rsid w:val="2CD23AFF"/>
    <w:rsid w:val="2CD31625"/>
    <w:rsid w:val="2CD431F9"/>
    <w:rsid w:val="2CED397F"/>
    <w:rsid w:val="2CFF066C"/>
    <w:rsid w:val="2D202ABC"/>
    <w:rsid w:val="2D496381"/>
    <w:rsid w:val="2D546C0A"/>
    <w:rsid w:val="2D762E01"/>
    <w:rsid w:val="2D81306C"/>
    <w:rsid w:val="2D9256AB"/>
    <w:rsid w:val="2DA82AB1"/>
    <w:rsid w:val="2DC54C9D"/>
    <w:rsid w:val="2DC84F02"/>
    <w:rsid w:val="2DEC6E42"/>
    <w:rsid w:val="2DFA4B50"/>
    <w:rsid w:val="2E0F2B31"/>
    <w:rsid w:val="2E2755FD"/>
    <w:rsid w:val="2E293E5E"/>
    <w:rsid w:val="2E433F51"/>
    <w:rsid w:val="2E861045"/>
    <w:rsid w:val="2E9D638E"/>
    <w:rsid w:val="2EC22498"/>
    <w:rsid w:val="2ED162C5"/>
    <w:rsid w:val="2ED328DE"/>
    <w:rsid w:val="2ED527E6"/>
    <w:rsid w:val="2ED973C6"/>
    <w:rsid w:val="2EF25857"/>
    <w:rsid w:val="2EF44200"/>
    <w:rsid w:val="2F006E18"/>
    <w:rsid w:val="2F25085E"/>
    <w:rsid w:val="2F5B427F"/>
    <w:rsid w:val="2F5E5B1E"/>
    <w:rsid w:val="2F61560E"/>
    <w:rsid w:val="2F6D7B0F"/>
    <w:rsid w:val="2F871FE1"/>
    <w:rsid w:val="2F971030"/>
    <w:rsid w:val="2F990904"/>
    <w:rsid w:val="2F9C6646"/>
    <w:rsid w:val="2FAD43AF"/>
    <w:rsid w:val="2FBE5DAD"/>
    <w:rsid w:val="2FE204FD"/>
    <w:rsid w:val="301471AD"/>
    <w:rsid w:val="301B0832"/>
    <w:rsid w:val="3082583C"/>
    <w:rsid w:val="309335A5"/>
    <w:rsid w:val="309C68FD"/>
    <w:rsid w:val="309F63EE"/>
    <w:rsid w:val="30C714A1"/>
    <w:rsid w:val="30E07403"/>
    <w:rsid w:val="30ED3620"/>
    <w:rsid w:val="30EE68E5"/>
    <w:rsid w:val="30F229C1"/>
    <w:rsid w:val="311F6136"/>
    <w:rsid w:val="313A1C72"/>
    <w:rsid w:val="316B2C72"/>
    <w:rsid w:val="31815AF3"/>
    <w:rsid w:val="318A2BFA"/>
    <w:rsid w:val="31C12394"/>
    <w:rsid w:val="31D10829"/>
    <w:rsid w:val="31D976DD"/>
    <w:rsid w:val="31DF79A9"/>
    <w:rsid w:val="32140715"/>
    <w:rsid w:val="321E1594"/>
    <w:rsid w:val="32333292"/>
    <w:rsid w:val="323A4620"/>
    <w:rsid w:val="323F45F4"/>
    <w:rsid w:val="3240775C"/>
    <w:rsid w:val="32476D3D"/>
    <w:rsid w:val="327D62BB"/>
    <w:rsid w:val="32824534"/>
    <w:rsid w:val="32886674"/>
    <w:rsid w:val="32BD2CFE"/>
    <w:rsid w:val="32DA54BB"/>
    <w:rsid w:val="32FD73FC"/>
    <w:rsid w:val="32FE389F"/>
    <w:rsid w:val="32FF3174"/>
    <w:rsid w:val="33152997"/>
    <w:rsid w:val="331A1D5C"/>
    <w:rsid w:val="33240E2C"/>
    <w:rsid w:val="333746BC"/>
    <w:rsid w:val="334200B3"/>
    <w:rsid w:val="337B4EF0"/>
    <w:rsid w:val="33AF4B9A"/>
    <w:rsid w:val="33B9550C"/>
    <w:rsid w:val="33BA52ED"/>
    <w:rsid w:val="33D4015C"/>
    <w:rsid w:val="33E16D1D"/>
    <w:rsid w:val="33EF143A"/>
    <w:rsid w:val="342205BB"/>
    <w:rsid w:val="342F58B5"/>
    <w:rsid w:val="3434509F"/>
    <w:rsid w:val="34476B80"/>
    <w:rsid w:val="344C063B"/>
    <w:rsid w:val="346D0045"/>
    <w:rsid w:val="34963664"/>
    <w:rsid w:val="34BB5FA3"/>
    <w:rsid w:val="34BD425F"/>
    <w:rsid w:val="34CC3529"/>
    <w:rsid w:val="350B4052"/>
    <w:rsid w:val="35143F5C"/>
    <w:rsid w:val="3528471D"/>
    <w:rsid w:val="35472BB0"/>
    <w:rsid w:val="35521C81"/>
    <w:rsid w:val="35551771"/>
    <w:rsid w:val="35611EC4"/>
    <w:rsid w:val="35675000"/>
    <w:rsid w:val="35731BF7"/>
    <w:rsid w:val="35785DE9"/>
    <w:rsid w:val="35942299"/>
    <w:rsid w:val="35B71AE4"/>
    <w:rsid w:val="35F1346C"/>
    <w:rsid w:val="362A0508"/>
    <w:rsid w:val="36370E76"/>
    <w:rsid w:val="36372EAA"/>
    <w:rsid w:val="36421CF5"/>
    <w:rsid w:val="366317EF"/>
    <w:rsid w:val="366B28CE"/>
    <w:rsid w:val="366F23BE"/>
    <w:rsid w:val="367E6AA5"/>
    <w:rsid w:val="368340BC"/>
    <w:rsid w:val="36851BE2"/>
    <w:rsid w:val="368816D2"/>
    <w:rsid w:val="36AC53C0"/>
    <w:rsid w:val="36CF10AF"/>
    <w:rsid w:val="37152F66"/>
    <w:rsid w:val="372B4B9D"/>
    <w:rsid w:val="3757357E"/>
    <w:rsid w:val="37695060"/>
    <w:rsid w:val="377D33C2"/>
    <w:rsid w:val="378D6FA0"/>
    <w:rsid w:val="379326A3"/>
    <w:rsid w:val="37A20571"/>
    <w:rsid w:val="37B876E9"/>
    <w:rsid w:val="37C8447C"/>
    <w:rsid w:val="3842422E"/>
    <w:rsid w:val="384D4981"/>
    <w:rsid w:val="384F4255"/>
    <w:rsid w:val="389A3503"/>
    <w:rsid w:val="38AA3B82"/>
    <w:rsid w:val="38C34C43"/>
    <w:rsid w:val="38D94467"/>
    <w:rsid w:val="38E01351"/>
    <w:rsid w:val="39111E53"/>
    <w:rsid w:val="3914724D"/>
    <w:rsid w:val="391A0D07"/>
    <w:rsid w:val="393C35E0"/>
    <w:rsid w:val="395104A1"/>
    <w:rsid w:val="3996563E"/>
    <w:rsid w:val="399B47DC"/>
    <w:rsid w:val="39C742BF"/>
    <w:rsid w:val="39CB0253"/>
    <w:rsid w:val="39D37108"/>
    <w:rsid w:val="39D4367E"/>
    <w:rsid w:val="39E66E3B"/>
    <w:rsid w:val="39FE4185"/>
    <w:rsid w:val="3A053765"/>
    <w:rsid w:val="3A103EB8"/>
    <w:rsid w:val="3A1E0383"/>
    <w:rsid w:val="3A52627F"/>
    <w:rsid w:val="3A7A69B2"/>
    <w:rsid w:val="3A836257"/>
    <w:rsid w:val="3AB94550"/>
    <w:rsid w:val="3AC16F61"/>
    <w:rsid w:val="3AD4138A"/>
    <w:rsid w:val="3ADD6A38"/>
    <w:rsid w:val="3AE74C19"/>
    <w:rsid w:val="3AEE41FA"/>
    <w:rsid w:val="3AFE1F63"/>
    <w:rsid w:val="3B404329"/>
    <w:rsid w:val="3BC0508F"/>
    <w:rsid w:val="3C0E0A2E"/>
    <w:rsid w:val="3C326368"/>
    <w:rsid w:val="3C3C0F95"/>
    <w:rsid w:val="3C3C2D43"/>
    <w:rsid w:val="3C3E2452"/>
    <w:rsid w:val="3C406CD7"/>
    <w:rsid w:val="3C485B8B"/>
    <w:rsid w:val="3C5114F2"/>
    <w:rsid w:val="3C575DCE"/>
    <w:rsid w:val="3C687FDC"/>
    <w:rsid w:val="3C6E4EC6"/>
    <w:rsid w:val="3C7E77FF"/>
    <w:rsid w:val="3C860462"/>
    <w:rsid w:val="3C890608"/>
    <w:rsid w:val="3C9012E0"/>
    <w:rsid w:val="3CA32DC2"/>
    <w:rsid w:val="3CCB2319"/>
    <w:rsid w:val="3D22462E"/>
    <w:rsid w:val="3D235CB1"/>
    <w:rsid w:val="3D363C36"/>
    <w:rsid w:val="3D3A0E24"/>
    <w:rsid w:val="3D516CC2"/>
    <w:rsid w:val="3D6F788E"/>
    <w:rsid w:val="3D8B109B"/>
    <w:rsid w:val="3DB80AEF"/>
    <w:rsid w:val="3DC079A3"/>
    <w:rsid w:val="3DDF607B"/>
    <w:rsid w:val="3DEB2C72"/>
    <w:rsid w:val="3DF22091"/>
    <w:rsid w:val="3DF633C5"/>
    <w:rsid w:val="3E0C2BE9"/>
    <w:rsid w:val="3E0D4D3B"/>
    <w:rsid w:val="3E285C74"/>
    <w:rsid w:val="3E2972F7"/>
    <w:rsid w:val="3E3068D7"/>
    <w:rsid w:val="3E32264F"/>
    <w:rsid w:val="3E3A59A8"/>
    <w:rsid w:val="3E4B3711"/>
    <w:rsid w:val="3E570308"/>
    <w:rsid w:val="3E574F0E"/>
    <w:rsid w:val="3E581CCD"/>
    <w:rsid w:val="3E5D51F2"/>
    <w:rsid w:val="3E697C53"/>
    <w:rsid w:val="3E742C68"/>
    <w:rsid w:val="3E79027E"/>
    <w:rsid w:val="3E815385"/>
    <w:rsid w:val="3E930D2D"/>
    <w:rsid w:val="3E9764B6"/>
    <w:rsid w:val="3EAF3CA0"/>
    <w:rsid w:val="3EC339C5"/>
    <w:rsid w:val="3ED731F7"/>
    <w:rsid w:val="3EFB6EE5"/>
    <w:rsid w:val="3EFE0783"/>
    <w:rsid w:val="3F010273"/>
    <w:rsid w:val="3F0B4C4E"/>
    <w:rsid w:val="3F0D6C18"/>
    <w:rsid w:val="3F1E4982"/>
    <w:rsid w:val="3F236F6B"/>
    <w:rsid w:val="3F3601F1"/>
    <w:rsid w:val="3F422BCE"/>
    <w:rsid w:val="3F4343E8"/>
    <w:rsid w:val="3F4D6C0D"/>
    <w:rsid w:val="3F5237E9"/>
    <w:rsid w:val="3F5C54AA"/>
    <w:rsid w:val="3F632CDC"/>
    <w:rsid w:val="3F652B5E"/>
    <w:rsid w:val="3F84512C"/>
    <w:rsid w:val="3F8746DD"/>
    <w:rsid w:val="3F9B2476"/>
    <w:rsid w:val="3FA427C4"/>
    <w:rsid w:val="3FB157F6"/>
    <w:rsid w:val="3FC36A25"/>
    <w:rsid w:val="3FC512A1"/>
    <w:rsid w:val="3FD66133"/>
    <w:rsid w:val="3FF81676"/>
    <w:rsid w:val="400B13AA"/>
    <w:rsid w:val="402E1CEE"/>
    <w:rsid w:val="40356427"/>
    <w:rsid w:val="40447564"/>
    <w:rsid w:val="405F16F6"/>
    <w:rsid w:val="405F5252"/>
    <w:rsid w:val="406C796F"/>
    <w:rsid w:val="406D3E12"/>
    <w:rsid w:val="407056B1"/>
    <w:rsid w:val="4079476E"/>
    <w:rsid w:val="407E7DCE"/>
    <w:rsid w:val="40842F0A"/>
    <w:rsid w:val="408847A8"/>
    <w:rsid w:val="408F1FDB"/>
    <w:rsid w:val="40956EC5"/>
    <w:rsid w:val="40B557B9"/>
    <w:rsid w:val="40B57568"/>
    <w:rsid w:val="40DB5E22"/>
    <w:rsid w:val="40DE086C"/>
    <w:rsid w:val="41232723"/>
    <w:rsid w:val="41287D39"/>
    <w:rsid w:val="413B181B"/>
    <w:rsid w:val="413F6C10"/>
    <w:rsid w:val="416074D3"/>
    <w:rsid w:val="4169646D"/>
    <w:rsid w:val="4185518C"/>
    <w:rsid w:val="418C02C8"/>
    <w:rsid w:val="41927BA9"/>
    <w:rsid w:val="419E624E"/>
    <w:rsid w:val="41A970CC"/>
    <w:rsid w:val="41AC44C7"/>
    <w:rsid w:val="41E974C9"/>
    <w:rsid w:val="41EA4FEF"/>
    <w:rsid w:val="41F1637D"/>
    <w:rsid w:val="420E6F2F"/>
    <w:rsid w:val="423746D8"/>
    <w:rsid w:val="424C5CAA"/>
    <w:rsid w:val="42734A5B"/>
    <w:rsid w:val="42870A90"/>
    <w:rsid w:val="428E1E1E"/>
    <w:rsid w:val="429F5DD9"/>
    <w:rsid w:val="42B215D1"/>
    <w:rsid w:val="42D00689"/>
    <w:rsid w:val="42D63D53"/>
    <w:rsid w:val="43010842"/>
    <w:rsid w:val="431D104B"/>
    <w:rsid w:val="43395DA8"/>
    <w:rsid w:val="4359067E"/>
    <w:rsid w:val="436C03B1"/>
    <w:rsid w:val="438751EB"/>
    <w:rsid w:val="438A0837"/>
    <w:rsid w:val="438D2267"/>
    <w:rsid w:val="43B104BA"/>
    <w:rsid w:val="43C4699B"/>
    <w:rsid w:val="43C512C9"/>
    <w:rsid w:val="44044A8E"/>
    <w:rsid w:val="4437412E"/>
    <w:rsid w:val="44780FD8"/>
    <w:rsid w:val="448B7C54"/>
    <w:rsid w:val="44B85878"/>
    <w:rsid w:val="44E90F5E"/>
    <w:rsid w:val="4519555D"/>
    <w:rsid w:val="45303661"/>
    <w:rsid w:val="453749EF"/>
    <w:rsid w:val="454D7D6F"/>
    <w:rsid w:val="45544649"/>
    <w:rsid w:val="45950612"/>
    <w:rsid w:val="45995C80"/>
    <w:rsid w:val="45B918A8"/>
    <w:rsid w:val="45BD3146"/>
    <w:rsid w:val="45C004A0"/>
    <w:rsid w:val="45CC5137"/>
    <w:rsid w:val="45E44EBF"/>
    <w:rsid w:val="45EA1A61"/>
    <w:rsid w:val="45F34DBA"/>
    <w:rsid w:val="461B7E6D"/>
    <w:rsid w:val="46236D21"/>
    <w:rsid w:val="462F123F"/>
    <w:rsid w:val="464C2F23"/>
    <w:rsid w:val="46560EA5"/>
    <w:rsid w:val="465E2BBD"/>
    <w:rsid w:val="465E7D59"/>
    <w:rsid w:val="46704FD2"/>
    <w:rsid w:val="467B4552"/>
    <w:rsid w:val="46911EDD"/>
    <w:rsid w:val="46BB51AC"/>
    <w:rsid w:val="46E42955"/>
    <w:rsid w:val="46E75FA1"/>
    <w:rsid w:val="46F61C75"/>
    <w:rsid w:val="470D4DDB"/>
    <w:rsid w:val="47266AC9"/>
    <w:rsid w:val="47295228"/>
    <w:rsid w:val="474451A1"/>
    <w:rsid w:val="475950F1"/>
    <w:rsid w:val="476A2E5A"/>
    <w:rsid w:val="478131A3"/>
    <w:rsid w:val="47857C94"/>
    <w:rsid w:val="479779C7"/>
    <w:rsid w:val="479A3013"/>
    <w:rsid w:val="47AC0FEE"/>
    <w:rsid w:val="47BA5463"/>
    <w:rsid w:val="47CC4552"/>
    <w:rsid w:val="47DC0FD2"/>
    <w:rsid w:val="48192B58"/>
    <w:rsid w:val="483671E0"/>
    <w:rsid w:val="484F3DFE"/>
    <w:rsid w:val="48505015"/>
    <w:rsid w:val="48895562"/>
    <w:rsid w:val="48A3420C"/>
    <w:rsid w:val="48AE4FC8"/>
    <w:rsid w:val="48C52F47"/>
    <w:rsid w:val="48D3580C"/>
    <w:rsid w:val="48DA2590"/>
    <w:rsid w:val="48DD58AD"/>
    <w:rsid w:val="48DE5EB1"/>
    <w:rsid w:val="49137521"/>
    <w:rsid w:val="49380D36"/>
    <w:rsid w:val="49575660"/>
    <w:rsid w:val="495B21DD"/>
    <w:rsid w:val="49652C7D"/>
    <w:rsid w:val="496D6C31"/>
    <w:rsid w:val="49746212"/>
    <w:rsid w:val="49A34401"/>
    <w:rsid w:val="49A85EBB"/>
    <w:rsid w:val="49AD34D2"/>
    <w:rsid w:val="49B32CA9"/>
    <w:rsid w:val="49C425C9"/>
    <w:rsid w:val="49C7262C"/>
    <w:rsid w:val="49FB248F"/>
    <w:rsid w:val="4A0B4EFC"/>
    <w:rsid w:val="4A192915"/>
    <w:rsid w:val="4A1E1CDA"/>
    <w:rsid w:val="4A1E3088"/>
    <w:rsid w:val="4A63341D"/>
    <w:rsid w:val="4A804DCC"/>
    <w:rsid w:val="4A82495E"/>
    <w:rsid w:val="4A873D23"/>
    <w:rsid w:val="4A8E1467"/>
    <w:rsid w:val="4A911DE8"/>
    <w:rsid w:val="4A914F38"/>
    <w:rsid w:val="4AA541A9"/>
    <w:rsid w:val="4AB21D49"/>
    <w:rsid w:val="4AB368C6"/>
    <w:rsid w:val="4AC00FE3"/>
    <w:rsid w:val="4AF55130"/>
    <w:rsid w:val="4B0215FB"/>
    <w:rsid w:val="4B0B66C7"/>
    <w:rsid w:val="4B0E7FA0"/>
    <w:rsid w:val="4B35377F"/>
    <w:rsid w:val="4B386DCB"/>
    <w:rsid w:val="4B5A4F93"/>
    <w:rsid w:val="4B630033"/>
    <w:rsid w:val="4B663938"/>
    <w:rsid w:val="4B75033D"/>
    <w:rsid w:val="4B753A52"/>
    <w:rsid w:val="4B9506C1"/>
    <w:rsid w:val="4B9F509C"/>
    <w:rsid w:val="4BA6467C"/>
    <w:rsid w:val="4BBC17AA"/>
    <w:rsid w:val="4BD9235C"/>
    <w:rsid w:val="4BF90C50"/>
    <w:rsid w:val="4C064665"/>
    <w:rsid w:val="4C083DEE"/>
    <w:rsid w:val="4C200BFF"/>
    <w:rsid w:val="4C284FE5"/>
    <w:rsid w:val="4C2D08FA"/>
    <w:rsid w:val="4C4A5008"/>
    <w:rsid w:val="4C783FF5"/>
    <w:rsid w:val="4C800A2A"/>
    <w:rsid w:val="4C883D82"/>
    <w:rsid w:val="4C8A7AFA"/>
    <w:rsid w:val="4C8F3363"/>
    <w:rsid w:val="4C9B3AB5"/>
    <w:rsid w:val="4CA94424"/>
    <w:rsid w:val="4CAA3CF8"/>
    <w:rsid w:val="4CC46789"/>
    <w:rsid w:val="4CCB29CC"/>
    <w:rsid w:val="4CDF6854"/>
    <w:rsid w:val="4CE4545C"/>
    <w:rsid w:val="4CE92A73"/>
    <w:rsid w:val="4D2A6BE7"/>
    <w:rsid w:val="4D387556"/>
    <w:rsid w:val="4D4952BF"/>
    <w:rsid w:val="4D553878"/>
    <w:rsid w:val="4D673998"/>
    <w:rsid w:val="4D74790A"/>
    <w:rsid w:val="4D783DF7"/>
    <w:rsid w:val="4DA927F0"/>
    <w:rsid w:val="4DB210B7"/>
    <w:rsid w:val="4DB27309"/>
    <w:rsid w:val="4DD03C33"/>
    <w:rsid w:val="4E061402"/>
    <w:rsid w:val="4E233D62"/>
    <w:rsid w:val="4E3C3076"/>
    <w:rsid w:val="4E5D1E99"/>
    <w:rsid w:val="4E65437B"/>
    <w:rsid w:val="4E8D6F0E"/>
    <w:rsid w:val="4EAE1F59"/>
    <w:rsid w:val="4EB56FED"/>
    <w:rsid w:val="4EB6332E"/>
    <w:rsid w:val="4EC07803"/>
    <w:rsid w:val="4EC8490A"/>
    <w:rsid w:val="4EC94C72"/>
    <w:rsid w:val="4ED4505D"/>
    <w:rsid w:val="4EF179BD"/>
    <w:rsid w:val="4EFA15E0"/>
    <w:rsid w:val="4F02606E"/>
    <w:rsid w:val="4F2C30EB"/>
    <w:rsid w:val="4F4B17C3"/>
    <w:rsid w:val="4F4F776A"/>
    <w:rsid w:val="4F585C8E"/>
    <w:rsid w:val="4F834E9D"/>
    <w:rsid w:val="4FC96AF3"/>
    <w:rsid w:val="500B09B6"/>
    <w:rsid w:val="500D4CCA"/>
    <w:rsid w:val="500F3AAC"/>
    <w:rsid w:val="50267B3A"/>
    <w:rsid w:val="5032028D"/>
    <w:rsid w:val="50454464"/>
    <w:rsid w:val="5050449E"/>
    <w:rsid w:val="505521CD"/>
    <w:rsid w:val="506A3ECB"/>
    <w:rsid w:val="506D4937"/>
    <w:rsid w:val="507F502F"/>
    <w:rsid w:val="508D5E0B"/>
    <w:rsid w:val="50C05BC8"/>
    <w:rsid w:val="50E130F1"/>
    <w:rsid w:val="510D4856"/>
    <w:rsid w:val="51330760"/>
    <w:rsid w:val="513F31A7"/>
    <w:rsid w:val="514648DC"/>
    <w:rsid w:val="51493AE0"/>
    <w:rsid w:val="514F30C0"/>
    <w:rsid w:val="5151681A"/>
    <w:rsid w:val="517F4C3F"/>
    <w:rsid w:val="51826FF2"/>
    <w:rsid w:val="51AE7DE7"/>
    <w:rsid w:val="51DA5080"/>
    <w:rsid w:val="51FC4FF6"/>
    <w:rsid w:val="51FF6894"/>
    <w:rsid w:val="52075749"/>
    <w:rsid w:val="52662DA7"/>
    <w:rsid w:val="526F3A1A"/>
    <w:rsid w:val="528648C0"/>
    <w:rsid w:val="52927709"/>
    <w:rsid w:val="52AA4A52"/>
    <w:rsid w:val="52B72CCB"/>
    <w:rsid w:val="52BE7978"/>
    <w:rsid w:val="52DE1044"/>
    <w:rsid w:val="52E86C1A"/>
    <w:rsid w:val="52EA4E4F"/>
    <w:rsid w:val="530103EA"/>
    <w:rsid w:val="531243A6"/>
    <w:rsid w:val="531A7DF6"/>
    <w:rsid w:val="532337DB"/>
    <w:rsid w:val="532C2F77"/>
    <w:rsid w:val="53355F8E"/>
    <w:rsid w:val="53764934"/>
    <w:rsid w:val="53797979"/>
    <w:rsid w:val="53803A05"/>
    <w:rsid w:val="53BA6F17"/>
    <w:rsid w:val="53DD2C05"/>
    <w:rsid w:val="53E21FCA"/>
    <w:rsid w:val="53E43F94"/>
    <w:rsid w:val="53FD5056"/>
    <w:rsid w:val="54063F0A"/>
    <w:rsid w:val="54071A30"/>
    <w:rsid w:val="54261F89"/>
    <w:rsid w:val="542E3461"/>
    <w:rsid w:val="543547EF"/>
    <w:rsid w:val="54401382"/>
    <w:rsid w:val="545A25C3"/>
    <w:rsid w:val="54751090"/>
    <w:rsid w:val="547A6B30"/>
    <w:rsid w:val="548B440F"/>
    <w:rsid w:val="54900B97"/>
    <w:rsid w:val="54A728C5"/>
    <w:rsid w:val="54BA6AA3"/>
    <w:rsid w:val="54D401D7"/>
    <w:rsid w:val="54EA4E2E"/>
    <w:rsid w:val="54F2623D"/>
    <w:rsid w:val="5503669C"/>
    <w:rsid w:val="551A1CE4"/>
    <w:rsid w:val="55230AEC"/>
    <w:rsid w:val="55320D2F"/>
    <w:rsid w:val="553D1BAE"/>
    <w:rsid w:val="55452810"/>
    <w:rsid w:val="55484272"/>
    <w:rsid w:val="55774994"/>
    <w:rsid w:val="557C1FAA"/>
    <w:rsid w:val="55A05B02"/>
    <w:rsid w:val="55A41C2D"/>
    <w:rsid w:val="55AF2380"/>
    <w:rsid w:val="55B81234"/>
    <w:rsid w:val="55CE0A58"/>
    <w:rsid w:val="562B5EAA"/>
    <w:rsid w:val="563A7E9B"/>
    <w:rsid w:val="56446F6C"/>
    <w:rsid w:val="56632DAB"/>
    <w:rsid w:val="56701B0F"/>
    <w:rsid w:val="56863B91"/>
    <w:rsid w:val="568F7D55"/>
    <w:rsid w:val="56A31EE4"/>
    <w:rsid w:val="56BF65F2"/>
    <w:rsid w:val="56D06494"/>
    <w:rsid w:val="56D32810"/>
    <w:rsid w:val="570723CE"/>
    <w:rsid w:val="57672F12"/>
    <w:rsid w:val="576E642E"/>
    <w:rsid w:val="57770C7B"/>
    <w:rsid w:val="57967439"/>
    <w:rsid w:val="57B537F0"/>
    <w:rsid w:val="57CC546B"/>
    <w:rsid w:val="57DD4F82"/>
    <w:rsid w:val="57E36383"/>
    <w:rsid w:val="57EC1669"/>
    <w:rsid w:val="57F30C49"/>
    <w:rsid w:val="57F51EE0"/>
    <w:rsid w:val="580C1D0B"/>
    <w:rsid w:val="580F5357"/>
    <w:rsid w:val="58344B95"/>
    <w:rsid w:val="58727DC0"/>
    <w:rsid w:val="587B479B"/>
    <w:rsid w:val="587B6BC7"/>
    <w:rsid w:val="588B2C30"/>
    <w:rsid w:val="588E0972"/>
    <w:rsid w:val="589F66DB"/>
    <w:rsid w:val="58C47EF0"/>
    <w:rsid w:val="58D740C7"/>
    <w:rsid w:val="590B5B1F"/>
    <w:rsid w:val="592E0341"/>
    <w:rsid w:val="596C2A61"/>
    <w:rsid w:val="59755686"/>
    <w:rsid w:val="597F1188"/>
    <w:rsid w:val="5991071A"/>
    <w:rsid w:val="599A4741"/>
    <w:rsid w:val="599B3347"/>
    <w:rsid w:val="599C0826"/>
    <w:rsid w:val="59D423B5"/>
    <w:rsid w:val="5A4E6F09"/>
    <w:rsid w:val="5A614A8D"/>
    <w:rsid w:val="5A845B89"/>
    <w:rsid w:val="5A934EA1"/>
    <w:rsid w:val="5AB75F5E"/>
    <w:rsid w:val="5ABD72ED"/>
    <w:rsid w:val="5ACD5782"/>
    <w:rsid w:val="5AD475A6"/>
    <w:rsid w:val="5AD52888"/>
    <w:rsid w:val="5ADF7263"/>
    <w:rsid w:val="5AE40D1D"/>
    <w:rsid w:val="5AF27C31"/>
    <w:rsid w:val="5AF81464"/>
    <w:rsid w:val="5AFF3461"/>
    <w:rsid w:val="5AFF3D84"/>
    <w:rsid w:val="5B1A64ED"/>
    <w:rsid w:val="5B286E5C"/>
    <w:rsid w:val="5B5163B3"/>
    <w:rsid w:val="5B5714EF"/>
    <w:rsid w:val="5B5E63DA"/>
    <w:rsid w:val="5B835E40"/>
    <w:rsid w:val="5B8A1371"/>
    <w:rsid w:val="5BA1130F"/>
    <w:rsid w:val="5BA1276A"/>
    <w:rsid w:val="5C25339C"/>
    <w:rsid w:val="5C336836"/>
    <w:rsid w:val="5C4A2E02"/>
    <w:rsid w:val="5C4E46A0"/>
    <w:rsid w:val="5C575CA6"/>
    <w:rsid w:val="5C62014C"/>
    <w:rsid w:val="5C660561"/>
    <w:rsid w:val="5C8E0F41"/>
    <w:rsid w:val="5C983B6D"/>
    <w:rsid w:val="5CA051D4"/>
    <w:rsid w:val="5CA70254"/>
    <w:rsid w:val="5CBA7F88"/>
    <w:rsid w:val="5CD10E2D"/>
    <w:rsid w:val="5CD32DF8"/>
    <w:rsid w:val="5CDF354A"/>
    <w:rsid w:val="5CFA0384"/>
    <w:rsid w:val="5CFA2981"/>
    <w:rsid w:val="5CFA4828"/>
    <w:rsid w:val="5D0B1BED"/>
    <w:rsid w:val="5D395350"/>
    <w:rsid w:val="5D565FF3"/>
    <w:rsid w:val="5D720862"/>
    <w:rsid w:val="5D845EA0"/>
    <w:rsid w:val="5D9205BD"/>
    <w:rsid w:val="5DA0717E"/>
    <w:rsid w:val="5DAB2583"/>
    <w:rsid w:val="5DB636FD"/>
    <w:rsid w:val="5DCF7A63"/>
    <w:rsid w:val="5DD46E27"/>
    <w:rsid w:val="5DD5494D"/>
    <w:rsid w:val="5DE54B90"/>
    <w:rsid w:val="5DED613B"/>
    <w:rsid w:val="5DFB2606"/>
    <w:rsid w:val="5DFC08AB"/>
    <w:rsid w:val="5E005E6E"/>
    <w:rsid w:val="5E08194A"/>
    <w:rsid w:val="5E0E2A29"/>
    <w:rsid w:val="5E210FED"/>
    <w:rsid w:val="5E303744"/>
    <w:rsid w:val="5E451AD3"/>
    <w:rsid w:val="5E4701A8"/>
    <w:rsid w:val="5E526DBA"/>
    <w:rsid w:val="5E67732C"/>
    <w:rsid w:val="5E800D5D"/>
    <w:rsid w:val="5E873E9A"/>
    <w:rsid w:val="5ECA26F7"/>
    <w:rsid w:val="5ED52E57"/>
    <w:rsid w:val="5ED73F9B"/>
    <w:rsid w:val="5EDA046D"/>
    <w:rsid w:val="5F00155B"/>
    <w:rsid w:val="5F0B3528"/>
    <w:rsid w:val="5F100333"/>
    <w:rsid w:val="5F117C07"/>
    <w:rsid w:val="5F381638"/>
    <w:rsid w:val="5F3C2ED6"/>
    <w:rsid w:val="5F725EF4"/>
    <w:rsid w:val="5F9503CB"/>
    <w:rsid w:val="5FB754A5"/>
    <w:rsid w:val="5FFE018B"/>
    <w:rsid w:val="60017C7C"/>
    <w:rsid w:val="60067ABA"/>
    <w:rsid w:val="602504C8"/>
    <w:rsid w:val="60365B77"/>
    <w:rsid w:val="60367925"/>
    <w:rsid w:val="603B098C"/>
    <w:rsid w:val="603D6F06"/>
    <w:rsid w:val="60513EFF"/>
    <w:rsid w:val="605D7710"/>
    <w:rsid w:val="60712CDB"/>
    <w:rsid w:val="6074044E"/>
    <w:rsid w:val="608378E4"/>
    <w:rsid w:val="60844B35"/>
    <w:rsid w:val="608C39E9"/>
    <w:rsid w:val="609D1752"/>
    <w:rsid w:val="60BF104E"/>
    <w:rsid w:val="60DA0BF8"/>
    <w:rsid w:val="60EC6564"/>
    <w:rsid w:val="610F0176"/>
    <w:rsid w:val="611D2893"/>
    <w:rsid w:val="61291215"/>
    <w:rsid w:val="613F6CAD"/>
    <w:rsid w:val="61587D6F"/>
    <w:rsid w:val="61620180"/>
    <w:rsid w:val="616E7593"/>
    <w:rsid w:val="61B03707"/>
    <w:rsid w:val="61C3343B"/>
    <w:rsid w:val="61C80A51"/>
    <w:rsid w:val="61FA4982"/>
    <w:rsid w:val="62210161"/>
    <w:rsid w:val="62436329"/>
    <w:rsid w:val="62440C26"/>
    <w:rsid w:val="624A3B5C"/>
    <w:rsid w:val="625C563D"/>
    <w:rsid w:val="626544F2"/>
    <w:rsid w:val="626C5687"/>
    <w:rsid w:val="627C183B"/>
    <w:rsid w:val="628506F0"/>
    <w:rsid w:val="629B43B7"/>
    <w:rsid w:val="62A37A6C"/>
    <w:rsid w:val="62CE7B37"/>
    <w:rsid w:val="62FC1689"/>
    <w:rsid w:val="63014EF4"/>
    <w:rsid w:val="63212B0F"/>
    <w:rsid w:val="63402869"/>
    <w:rsid w:val="63414F5F"/>
    <w:rsid w:val="634E31D8"/>
    <w:rsid w:val="63626C83"/>
    <w:rsid w:val="636724EC"/>
    <w:rsid w:val="638E01A3"/>
    <w:rsid w:val="63A0572C"/>
    <w:rsid w:val="63B0028C"/>
    <w:rsid w:val="63B03E93"/>
    <w:rsid w:val="63C43817"/>
    <w:rsid w:val="63F52B14"/>
    <w:rsid w:val="644665A5"/>
    <w:rsid w:val="6454481E"/>
    <w:rsid w:val="649468B8"/>
    <w:rsid w:val="649C7F73"/>
    <w:rsid w:val="64AC28AC"/>
    <w:rsid w:val="64BC7B19"/>
    <w:rsid w:val="64BE613B"/>
    <w:rsid w:val="64E04304"/>
    <w:rsid w:val="64E77440"/>
    <w:rsid w:val="64F41B5D"/>
    <w:rsid w:val="65091AAC"/>
    <w:rsid w:val="65242EDA"/>
    <w:rsid w:val="6546685C"/>
    <w:rsid w:val="654A79CF"/>
    <w:rsid w:val="65562818"/>
    <w:rsid w:val="657333CA"/>
    <w:rsid w:val="65907AD8"/>
    <w:rsid w:val="66482160"/>
    <w:rsid w:val="664C7264"/>
    <w:rsid w:val="665C3E5E"/>
    <w:rsid w:val="667C1E0A"/>
    <w:rsid w:val="668313EA"/>
    <w:rsid w:val="668B029F"/>
    <w:rsid w:val="668F7D8F"/>
    <w:rsid w:val="66C20165"/>
    <w:rsid w:val="66D165FA"/>
    <w:rsid w:val="66DF5346"/>
    <w:rsid w:val="66F44096"/>
    <w:rsid w:val="67267674"/>
    <w:rsid w:val="6753700F"/>
    <w:rsid w:val="67542D87"/>
    <w:rsid w:val="67580891"/>
    <w:rsid w:val="676F196F"/>
    <w:rsid w:val="676F3DA6"/>
    <w:rsid w:val="67760F4F"/>
    <w:rsid w:val="67803B7C"/>
    <w:rsid w:val="6780592A"/>
    <w:rsid w:val="67957627"/>
    <w:rsid w:val="67CF0FCA"/>
    <w:rsid w:val="67D01B1D"/>
    <w:rsid w:val="67D515A2"/>
    <w:rsid w:val="67DA14DE"/>
    <w:rsid w:val="67DD4823"/>
    <w:rsid w:val="67E660D5"/>
    <w:rsid w:val="68046C31"/>
    <w:rsid w:val="680D4C13"/>
    <w:rsid w:val="680E73DA"/>
    <w:rsid w:val="68126ECA"/>
    <w:rsid w:val="681A5D7E"/>
    <w:rsid w:val="682D3D04"/>
    <w:rsid w:val="682D5AB2"/>
    <w:rsid w:val="68476448"/>
    <w:rsid w:val="68510271"/>
    <w:rsid w:val="685C0145"/>
    <w:rsid w:val="687E630D"/>
    <w:rsid w:val="689B7F6B"/>
    <w:rsid w:val="68A04079"/>
    <w:rsid w:val="68AD09A1"/>
    <w:rsid w:val="68B70904"/>
    <w:rsid w:val="68E1064A"/>
    <w:rsid w:val="68E368BA"/>
    <w:rsid w:val="690D59EA"/>
    <w:rsid w:val="695E313C"/>
    <w:rsid w:val="69601EB7"/>
    <w:rsid w:val="69771088"/>
    <w:rsid w:val="698701B1"/>
    <w:rsid w:val="69921FB5"/>
    <w:rsid w:val="69943E5B"/>
    <w:rsid w:val="699B4C9D"/>
    <w:rsid w:val="69C02956"/>
    <w:rsid w:val="69C97A5C"/>
    <w:rsid w:val="69D34437"/>
    <w:rsid w:val="6A0C7949"/>
    <w:rsid w:val="6A1052CA"/>
    <w:rsid w:val="6A303637"/>
    <w:rsid w:val="6A3F7D1E"/>
    <w:rsid w:val="6A4D41E9"/>
    <w:rsid w:val="6A7D43A3"/>
    <w:rsid w:val="6A94427A"/>
    <w:rsid w:val="6A9F3997"/>
    <w:rsid w:val="6AA95198"/>
    <w:rsid w:val="6AC83870"/>
    <w:rsid w:val="6AC93B00"/>
    <w:rsid w:val="6AF573BF"/>
    <w:rsid w:val="6B217424"/>
    <w:rsid w:val="6B32518D"/>
    <w:rsid w:val="6B39476E"/>
    <w:rsid w:val="6B453112"/>
    <w:rsid w:val="6B474126"/>
    <w:rsid w:val="6B4B5033"/>
    <w:rsid w:val="6B5C4746"/>
    <w:rsid w:val="6B923E7E"/>
    <w:rsid w:val="6BA02A3F"/>
    <w:rsid w:val="6BA3608B"/>
    <w:rsid w:val="6BB43DF4"/>
    <w:rsid w:val="6BC166E1"/>
    <w:rsid w:val="6C014D65"/>
    <w:rsid w:val="6C092392"/>
    <w:rsid w:val="6C2B055A"/>
    <w:rsid w:val="6C2E1DF8"/>
    <w:rsid w:val="6C384A25"/>
    <w:rsid w:val="6C427652"/>
    <w:rsid w:val="6C4D6722"/>
    <w:rsid w:val="6C6062F0"/>
    <w:rsid w:val="6C643A6C"/>
    <w:rsid w:val="6C6617FD"/>
    <w:rsid w:val="6CA9147F"/>
    <w:rsid w:val="6CC25E95"/>
    <w:rsid w:val="6CC81EA4"/>
    <w:rsid w:val="6CCC0EF1"/>
    <w:rsid w:val="6CD97FB6"/>
    <w:rsid w:val="6CE95D1F"/>
    <w:rsid w:val="6CF546C4"/>
    <w:rsid w:val="6CFD5AC6"/>
    <w:rsid w:val="6D1D4C8C"/>
    <w:rsid w:val="6D226016"/>
    <w:rsid w:val="6D266DA2"/>
    <w:rsid w:val="6D2D3681"/>
    <w:rsid w:val="6D2F407A"/>
    <w:rsid w:val="6D314503"/>
    <w:rsid w:val="6D592EA5"/>
    <w:rsid w:val="6DC24EEE"/>
    <w:rsid w:val="6DD21FB5"/>
    <w:rsid w:val="6DDA2FBC"/>
    <w:rsid w:val="6DDB1B0C"/>
    <w:rsid w:val="6DE021CB"/>
    <w:rsid w:val="6DED7E5B"/>
    <w:rsid w:val="6DF63D8E"/>
    <w:rsid w:val="6E184B0E"/>
    <w:rsid w:val="6E290AC9"/>
    <w:rsid w:val="6E453429"/>
    <w:rsid w:val="6E557B10"/>
    <w:rsid w:val="6E5F480F"/>
    <w:rsid w:val="6E634ED8"/>
    <w:rsid w:val="6E751F61"/>
    <w:rsid w:val="6EA168B2"/>
    <w:rsid w:val="6EA43AB0"/>
    <w:rsid w:val="6ED263B8"/>
    <w:rsid w:val="6ED50C51"/>
    <w:rsid w:val="6F103A37"/>
    <w:rsid w:val="6F16478C"/>
    <w:rsid w:val="6F216620"/>
    <w:rsid w:val="6F282E83"/>
    <w:rsid w:val="6F3D78F2"/>
    <w:rsid w:val="6F59718C"/>
    <w:rsid w:val="6F6B1BBA"/>
    <w:rsid w:val="6F775864"/>
    <w:rsid w:val="6F7A7103"/>
    <w:rsid w:val="6F7C731F"/>
    <w:rsid w:val="6F83705A"/>
    <w:rsid w:val="6FBB7E47"/>
    <w:rsid w:val="6FCE7B7A"/>
    <w:rsid w:val="6FD66A2F"/>
    <w:rsid w:val="7036127C"/>
    <w:rsid w:val="70651B61"/>
    <w:rsid w:val="70671D7D"/>
    <w:rsid w:val="70822713"/>
    <w:rsid w:val="70984EE6"/>
    <w:rsid w:val="709F5073"/>
    <w:rsid w:val="71130B48"/>
    <w:rsid w:val="711700BA"/>
    <w:rsid w:val="71347EB1"/>
    <w:rsid w:val="71353C29"/>
    <w:rsid w:val="71445C1A"/>
    <w:rsid w:val="716D5171"/>
    <w:rsid w:val="71724535"/>
    <w:rsid w:val="71A5490B"/>
    <w:rsid w:val="71D96D84"/>
    <w:rsid w:val="71E60A7F"/>
    <w:rsid w:val="72005FE5"/>
    <w:rsid w:val="721E646B"/>
    <w:rsid w:val="72227D09"/>
    <w:rsid w:val="72255A4C"/>
    <w:rsid w:val="722717C4"/>
    <w:rsid w:val="72504189"/>
    <w:rsid w:val="7258372B"/>
    <w:rsid w:val="72712A3F"/>
    <w:rsid w:val="72A17E94"/>
    <w:rsid w:val="72AE3C93"/>
    <w:rsid w:val="72B54028"/>
    <w:rsid w:val="731C0BFD"/>
    <w:rsid w:val="73217FC1"/>
    <w:rsid w:val="7329331A"/>
    <w:rsid w:val="733A1083"/>
    <w:rsid w:val="73487C44"/>
    <w:rsid w:val="735A7977"/>
    <w:rsid w:val="73970283"/>
    <w:rsid w:val="73A86934"/>
    <w:rsid w:val="73AA3586"/>
    <w:rsid w:val="73B2647E"/>
    <w:rsid w:val="73B76B77"/>
    <w:rsid w:val="73BB0416"/>
    <w:rsid w:val="73C6500C"/>
    <w:rsid w:val="73C848E1"/>
    <w:rsid w:val="7419513C"/>
    <w:rsid w:val="741D60E7"/>
    <w:rsid w:val="742A10F7"/>
    <w:rsid w:val="74336D6B"/>
    <w:rsid w:val="743B1556"/>
    <w:rsid w:val="744D7FDA"/>
    <w:rsid w:val="746E1E1B"/>
    <w:rsid w:val="74A06651"/>
    <w:rsid w:val="74B51309"/>
    <w:rsid w:val="74DD0860"/>
    <w:rsid w:val="7501454E"/>
    <w:rsid w:val="75114065"/>
    <w:rsid w:val="751F2C26"/>
    <w:rsid w:val="753C5586"/>
    <w:rsid w:val="7548139F"/>
    <w:rsid w:val="75497CA3"/>
    <w:rsid w:val="754B3A1B"/>
    <w:rsid w:val="754F71E0"/>
    <w:rsid w:val="75546D59"/>
    <w:rsid w:val="7564688B"/>
    <w:rsid w:val="758C118A"/>
    <w:rsid w:val="75902A38"/>
    <w:rsid w:val="75BC2223"/>
    <w:rsid w:val="75DB4D9F"/>
    <w:rsid w:val="75DC651A"/>
    <w:rsid w:val="75E8126A"/>
    <w:rsid w:val="75EC2EB8"/>
    <w:rsid w:val="75F258FF"/>
    <w:rsid w:val="75F3569E"/>
    <w:rsid w:val="75F75951"/>
    <w:rsid w:val="76071E1F"/>
    <w:rsid w:val="7621477C"/>
    <w:rsid w:val="762D1373"/>
    <w:rsid w:val="76465992"/>
    <w:rsid w:val="765468FF"/>
    <w:rsid w:val="76726D86"/>
    <w:rsid w:val="767A350B"/>
    <w:rsid w:val="76D66AEB"/>
    <w:rsid w:val="76EE0B02"/>
    <w:rsid w:val="76F8372F"/>
    <w:rsid w:val="77130569"/>
    <w:rsid w:val="7715559F"/>
    <w:rsid w:val="7728710F"/>
    <w:rsid w:val="772B7660"/>
    <w:rsid w:val="77366005"/>
    <w:rsid w:val="774C65BE"/>
    <w:rsid w:val="775B43C7"/>
    <w:rsid w:val="775D6047"/>
    <w:rsid w:val="778B00FF"/>
    <w:rsid w:val="77A22D00"/>
    <w:rsid w:val="77A721D1"/>
    <w:rsid w:val="77B04009"/>
    <w:rsid w:val="77C879E1"/>
    <w:rsid w:val="77D575CC"/>
    <w:rsid w:val="77DE3778"/>
    <w:rsid w:val="77EF696B"/>
    <w:rsid w:val="77FF79CA"/>
    <w:rsid w:val="781C691C"/>
    <w:rsid w:val="782A73E6"/>
    <w:rsid w:val="7837699F"/>
    <w:rsid w:val="78482494"/>
    <w:rsid w:val="784D3606"/>
    <w:rsid w:val="78521B33"/>
    <w:rsid w:val="785C07D9"/>
    <w:rsid w:val="787B31CC"/>
    <w:rsid w:val="78AA2807"/>
    <w:rsid w:val="78BE62B2"/>
    <w:rsid w:val="78C0202A"/>
    <w:rsid w:val="78E21FA1"/>
    <w:rsid w:val="79440EAD"/>
    <w:rsid w:val="794C5FB4"/>
    <w:rsid w:val="7956473D"/>
    <w:rsid w:val="79751067"/>
    <w:rsid w:val="79773031"/>
    <w:rsid w:val="79780B57"/>
    <w:rsid w:val="79865022"/>
    <w:rsid w:val="798B2638"/>
    <w:rsid w:val="79A66B9A"/>
    <w:rsid w:val="79C21DD2"/>
    <w:rsid w:val="79D02741"/>
    <w:rsid w:val="79E32474"/>
    <w:rsid w:val="79E9735F"/>
    <w:rsid w:val="79F04B91"/>
    <w:rsid w:val="79FA77BE"/>
    <w:rsid w:val="7A0B19CB"/>
    <w:rsid w:val="7A102B3D"/>
    <w:rsid w:val="7A410F49"/>
    <w:rsid w:val="7A8A7B24"/>
    <w:rsid w:val="7A8B6668"/>
    <w:rsid w:val="7A911ED0"/>
    <w:rsid w:val="7A9B68AB"/>
    <w:rsid w:val="7AB90936"/>
    <w:rsid w:val="7AD1051F"/>
    <w:rsid w:val="7AFA7156"/>
    <w:rsid w:val="7AFD7566"/>
    <w:rsid w:val="7B143E41"/>
    <w:rsid w:val="7B310FBD"/>
    <w:rsid w:val="7B430CF1"/>
    <w:rsid w:val="7B452CBB"/>
    <w:rsid w:val="7B58479C"/>
    <w:rsid w:val="7B841A35"/>
    <w:rsid w:val="7B9A3006"/>
    <w:rsid w:val="7B9D2AF7"/>
    <w:rsid w:val="7BA479E1"/>
    <w:rsid w:val="7BD302C6"/>
    <w:rsid w:val="7BD36518"/>
    <w:rsid w:val="7BE349AD"/>
    <w:rsid w:val="7BE73D72"/>
    <w:rsid w:val="7C15268D"/>
    <w:rsid w:val="7C281CA5"/>
    <w:rsid w:val="7C4371FA"/>
    <w:rsid w:val="7C482A62"/>
    <w:rsid w:val="7C4F05E6"/>
    <w:rsid w:val="7C5331B5"/>
    <w:rsid w:val="7C5F7DAC"/>
    <w:rsid w:val="7C694787"/>
    <w:rsid w:val="7C7C6977"/>
    <w:rsid w:val="7C851134"/>
    <w:rsid w:val="7C993AAC"/>
    <w:rsid w:val="7CA51C63"/>
    <w:rsid w:val="7CB73744"/>
    <w:rsid w:val="7CE04A49"/>
    <w:rsid w:val="7CE54755"/>
    <w:rsid w:val="7CEF2EDE"/>
    <w:rsid w:val="7D146DE8"/>
    <w:rsid w:val="7D185A54"/>
    <w:rsid w:val="7D413311"/>
    <w:rsid w:val="7D453655"/>
    <w:rsid w:val="7D495EEB"/>
    <w:rsid w:val="7D9677FD"/>
    <w:rsid w:val="7DB163E5"/>
    <w:rsid w:val="7DB16B5E"/>
    <w:rsid w:val="7DCC0A5B"/>
    <w:rsid w:val="7DD00F61"/>
    <w:rsid w:val="7DD10836"/>
    <w:rsid w:val="7E066731"/>
    <w:rsid w:val="7E130E4E"/>
    <w:rsid w:val="7E156974"/>
    <w:rsid w:val="7E1F77F3"/>
    <w:rsid w:val="7E22507B"/>
    <w:rsid w:val="7E512A83"/>
    <w:rsid w:val="7E665422"/>
    <w:rsid w:val="7E7933A7"/>
    <w:rsid w:val="7E834226"/>
    <w:rsid w:val="7E9A50CB"/>
    <w:rsid w:val="7EA321D2"/>
    <w:rsid w:val="7EC860DC"/>
    <w:rsid w:val="7ED56104"/>
    <w:rsid w:val="7EE03426"/>
    <w:rsid w:val="7EEA1BAF"/>
    <w:rsid w:val="7EF90044"/>
    <w:rsid w:val="7EFE265F"/>
    <w:rsid w:val="7F21759B"/>
    <w:rsid w:val="7F292504"/>
    <w:rsid w:val="7F995383"/>
    <w:rsid w:val="7FC248DA"/>
    <w:rsid w:val="7FC44AF6"/>
    <w:rsid w:val="7FD44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ind w:firstLine="200" w:firstLineChars="200"/>
      <w:jc w:val="both"/>
    </w:pPr>
    <w:rPr>
      <w:rFonts w:ascii="仿宋_GB2312" w:hAnsi="仿宋_GB2312" w:eastAsia="仿宋_GB2312" w:cstheme="minorBidi"/>
      <w:kern w:val="2"/>
      <w:sz w:val="32"/>
      <w:szCs w:val="22"/>
      <w:lang w:val="en-US" w:eastAsia="zh-CN" w:bidi="ar-SA"/>
    </w:rPr>
  </w:style>
  <w:style w:type="paragraph" w:styleId="2">
    <w:name w:val="heading 1"/>
    <w:basedOn w:val="1"/>
    <w:next w:val="1"/>
    <w:qFormat/>
    <w:uiPriority w:val="9"/>
    <w:pPr>
      <w:keepNext/>
      <w:keepLines/>
      <w:numPr>
        <w:ilvl w:val="0"/>
        <w:numId w:val="1"/>
      </w:numPr>
      <w:ind w:left="0" w:firstLine="0" w:firstLineChars="0"/>
      <w:outlineLvl w:val="0"/>
    </w:pPr>
    <w:rPr>
      <w:rFonts w:eastAsia="黑体"/>
      <w:b/>
      <w:bCs/>
      <w:kern w:val="44"/>
      <w:szCs w:val="44"/>
    </w:rPr>
  </w:style>
  <w:style w:type="paragraph" w:styleId="3">
    <w:name w:val="heading 2"/>
    <w:basedOn w:val="1"/>
    <w:next w:val="1"/>
    <w:unhideWhenUsed/>
    <w:qFormat/>
    <w:uiPriority w:val="9"/>
    <w:pPr>
      <w:keepNext/>
      <w:keepLines/>
      <w:numPr>
        <w:ilvl w:val="0"/>
        <w:numId w:val="2"/>
      </w:numPr>
      <w:ind w:left="0" w:firstLine="0" w:firstLineChars="0"/>
      <w:outlineLvl w:val="1"/>
    </w:pPr>
    <w:rPr>
      <w:rFonts w:eastAsia="方正楷体_GBK" w:asciiTheme="majorHAnsi" w:hAnsiTheme="majorHAnsi" w:cstheme="majorBidi"/>
      <w:b/>
      <w:bCs/>
      <w:szCs w:val="32"/>
    </w:rPr>
  </w:style>
  <w:style w:type="paragraph" w:styleId="4">
    <w:name w:val="heading 3"/>
    <w:basedOn w:val="1"/>
    <w:next w:val="1"/>
    <w:unhideWhenUsed/>
    <w:qFormat/>
    <w:uiPriority w:val="9"/>
    <w:pPr>
      <w:keepNext/>
      <w:keepLines/>
      <w:numPr>
        <w:ilvl w:val="0"/>
        <w:numId w:val="3"/>
      </w:numPr>
      <w:ind w:left="0" w:firstLine="0" w:firstLineChars="0"/>
      <w:outlineLvl w:val="2"/>
    </w:pPr>
    <w:rPr>
      <w:b/>
      <w:bCs/>
      <w:szCs w:val="32"/>
    </w:rPr>
  </w:style>
  <w:style w:type="paragraph" w:styleId="5">
    <w:name w:val="heading 4"/>
    <w:basedOn w:val="1"/>
    <w:next w:val="1"/>
    <w:unhideWhenUsed/>
    <w:qFormat/>
    <w:uiPriority w:val="9"/>
    <w:pPr>
      <w:keepNext/>
      <w:keepLines/>
      <w:numPr>
        <w:ilvl w:val="0"/>
        <w:numId w:val="4"/>
      </w:numPr>
      <w:spacing w:line="376" w:lineRule="atLeast"/>
      <w:ind w:left="198" w:firstLine="0" w:firstLineChars="0"/>
      <w:outlineLvl w:val="3"/>
    </w:pPr>
    <w:rPr>
      <w:rFonts w:asciiTheme="majorHAnsi" w:hAnsiTheme="majorHAnsi" w:cstheme="majorBidi"/>
      <w:b/>
      <w:bCs/>
      <w:sz w:val="28"/>
      <w:szCs w:val="28"/>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6">
    <w:name w:val="Normal Indent"/>
    <w:basedOn w:val="1"/>
    <w:next w:val="1"/>
    <w:unhideWhenUsed/>
    <w:qFormat/>
    <w:uiPriority w:val="99"/>
    <w:pPr>
      <w:ind w:firstLine="420"/>
    </w:pPr>
  </w:style>
  <w:style w:type="paragraph" w:styleId="7">
    <w:name w:val="caption"/>
    <w:basedOn w:val="1"/>
    <w:next w:val="1"/>
    <w:semiHidden/>
    <w:unhideWhenUsed/>
    <w:qFormat/>
    <w:uiPriority w:val="0"/>
    <w:rPr>
      <w:rFonts w:ascii="Arial" w:hAnsi="Arial" w:eastAsia="黑体"/>
      <w:sz w:val="20"/>
    </w:rPr>
  </w:style>
  <w:style w:type="paragraph" w:styleId="8">
    <w:name w:val="annotation text"/>
    <w:basedOn w:val="1"/>
    <w:qFormat/>
    <w:uiPriority w:val="0"/>
    <w:pPr>
      <w:jc w:val="left"/>
    </w:pPr>
  </w:style>
  <w:style w:type="paragraph" w:styleId="9">
    <w:name w:val="Body Text"/>
    <w:basedOn w:val="1"/>
    <w:next w:val="1"/>
    <w:qFormat/>
    <w:uiPriority w:val="0"/>
    <w:pPr>
      <w:spacing w:after="120"/>
    </w:pPr>
    <w:rPr>
      <w:rFonts w:ascii="Calibri" w:hAnsi="Calibri"/>
    </w:rPr>
  </w:style>
  <w:style w:type="paragraph" w:styleId="10">
    <w:name w:val="toc 3"/>
    <w:basedOn w:val="1"/>
    <w:next w:val="1"/>
    <w:qFormat/>
    <w:uiPriority w:val="39"/>
    <w:rPr>
      <w:rFonts w:ascii="方正仿宋_GBK" w:eastAsia="方正仿宋_GBK"/>
      <w:b/>
      <w:bCs/>
      <w:sz w:val="28"/>
      <w:szCs w:val="32"/>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footnote text"/>
    <w:basedOn w:val="1"/>
    <w:qFormat/>
    <w:uiPriority w:val="0"/>
    <w:pPr>
      <w:snapToGrid w:val="0"/>
      <w:jc w:val="left"/>
    </w:pPr>
    <w:rPr>
      <w:sz w:val="18"/>
    </w:rPr>
  </w:style>
  <w:style w:type="paragraph" w:styleId="14">
    <w:name w:val="Title"/>
    <w:basedOn w:val="1"/>
    <w:next w:val="1"/>
    <w:qFormat/>
    <w:uiPriority w:val="10"/>
    <w:pPr>
      <w:spacing w:before="240" w:after="60" w:line="360" w:lineRule="auto"/>
      <w:ind w:firstLine="0" w:firstLineChars="0"/>
      <w:jc w:val="center"/>
      <w:outlineLvl w:val="0"/>
    </w:pPr>
    <w:rPr>
      <w:rFonts w:eastAsia="方正小标宋_GBK" w:cstheme="majorBidi"/>
      <w:b/>
      <w:bCs/>
      <w:sz w:val="44"/>
      <w:szCs w:val="32"/>
    </w:rPr>
  </w:style>
  <w:style w:type="paragraph" w:styleId="15">
    <w:name w:val="Body Text First Indent"/>
    <w:basedOn w:val="9"/>
    <w:unhideWhenUsed/>
    <w:qFormat/>
    <w:uiPriority w:val="99"/>
    <w:pPr>
      <w:ind w:firstLine="420" w:firstLineChars="100"/>
    </w:p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footnote reference"/>
    <w:basedOn w:val="18"/>
    <w:qFormat/>
    <w:uiPriority w:val="0"/>
    <w:rPr>
      <w:vertAlign w:val="superscript"/>
    </w:rPr>
  </w:style>
  <w:style w:type="paragraph" w:customStyle="1" w:styleId="20">
    <w:name w:val="表格字体"/>
    <w:basedOn w:val="1"/>
    <w:qFormat/>
    <w:uiPriority w:val="0"/>
    <w:pPr>
      <w:spacing w:line="240" w:lineRule="auto"/>
      <w:ind w:firstLine="0" w:firstLineChars="0"/>
    </w:pPr>
    <w:rPr>
      <w:sz w:val="21"/>
    </w:r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chart" Target="charts/chart13.xml"/><Relationship Id="rId18" Type="http://schemas.openxmlformats.org/officeDocument/2006/relationships/chart" Target="charts/chart12.xml"/><Relationship Id="rId17" Type="http://schemas.openxmlformats.org/officeDocument/2006/relationships/chart" Target="charts/chart11.xml"/><Relationship Id="rId16" Type="http://schemas.openxmlformats.org/officeDocument/2006/relationships/chart" Target="charts/chart10.xml"/><Relationship Id="rId15" Type="http://schemas.openxmlformats.org/officeDocument/2006/relationships/chart" Target="charts/chart9.xml"/><Relationship Id="rId14" Type="http://schemas.openxmlformats.org/officeDocument/2006/relationships/chart" Target="charts/chart8.xml"/><Relationship Id="rId13" Type="http://schemas.openxmlformats.org/officeDocument/2006/relationships/chart" Target="charts/chart7.xml"/><Relationship Id="rId12" Type="http://schemas.openxmlformats.org/officeDocument/2006/relationships/chart" Target="charts/chart6.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10.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1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12.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package" Target="../embeddings/Workbook9.xlsx"/></Relationships>
</file>

<file path=word/charts/_rels/chart1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2.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package" Target="../embeddings/Workbook13.xlsx"/></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5.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package" Target="../embeddings/Workbook10.xlsx"/></Relationships>
</file>

<file path=word/charts/_rels/chart6.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package" Target="../embeddings/Workbook12.xlsx"/></Relationships>
</file>

<file path=word/charts/_rels/chart7.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8.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package" Target="../embeddings/Workbook11.xlsx"/></Relationships>
</file>

<file path=word/charts/_rels/chart9.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473226659947083"/>
          <c:y val="0.0445448676565526"/>
          <c:w val="0.894015371046995"/>
          <c:h val="0.655390574564235"/>
        </c:manualLayout>
      </c:layout>
      <c:barChart>
        <c:barDir val="col"/>
        <c:grouping val="clustered"/>
        <c:varyColors val="0"/>
        <c:dLbls>
          <c:showLegendKey val="0"/>
          <c:showVal val="0"/>
          <c:showCatName val="0"/>
          <c:showSerName val="0"/>
          <c:showPercent val="0"/>
          <c:showBubbleSize val="0"/>
        </c:dLbls>
        <c:gapWidth val="150"/>
        <c:overlap val="0"/>
        <c:axId val="240771944"/>
        <c:axId val="169176893"/>
      </c:barChart>
      <c:barChart>
        <c:barDir val="col"/>
        <c:grouping val="clustered"/>
        <c:varyColors val="0"/>
        <c:ser>
          <c:idx val="2"/>
          <c:order val="2"/>
          <c:tx>
            <c:strRef>
              <c:f>Sheet1!$D$1</c:f>
              <c:strCache>
                <c:ptCount val="1"/>
                <c:pt idx="0">
                  <c:v>电力消费弹性系数</c:v>
                </c:pt>
              </c:strCache>
            </c:strRef>
          </c:tx>
          <c:spPr>
            <a:solidFill>
              <a:schemeClr val="bg1">
                <a:lumMod val="85000"/>
              </a:schemeClr>
            </a:solidFill>
            <a:ln w="22225">
              <a:noFill/>
              <a:prstDash val="dash"/>
            </a:ln>
            <a:effectLst/>
            <a:sp3d contourW="22225"/>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Sheet1!$D$2:$D$11</c:f>
              <c:numCache>
                <c:formatCode>0.00_ </c:formatCode>
                <c:ptCount val="10"/>
                <c:pt idx="0">
                  <c:v>0.594202898550725</c:v>
                </c:pt>
                <c:pt idx="1">
                  <c:v>0.669117647058823</c:v>
                </c:pt>
                <c:pt idx="2">
                  <c:v>0.414492753623188</c:v>
                </c:pt>
                <c:pt idx="3">
                  <c:v>0.521212121212121</c:v>
                </c:pt>
                <c:pt idx="4">
                  <c:v>0.746666666666667</c:v>
                </c:pt>
                <c:pt idx="5">
                  <c:v>-1.94117647058824</c:v>
                </c:pt>
                <c:pt idx="6">
                  <c:v>1.39259259259259</c:v>
                </c:pt>
                <c:pt idx="7">
                  <c:v>5.6</c:v>
                </c:pt>
                <c:pt idx="8">
                  <c:v>1.976</c:v>
                </c:pt>
                <c:pt idx="9">
                  <c:v>1.14583333333333</c:v>
                </c:pt>
              </c:numCache>
            </c:numRef>
          </c:val>
        </c:ser>
        <c:dLbls>
          <c:showLegendKey val="0"/>
          <c:showVal val="1"/>
          <c:showCatName val="0"/>
          <c:showSerName val="0"/>
          <c:showPercent val="0"/>
          <c:showBubbleSize val="0"/>
        </c:dLbls>
        <c:gapWidth val="150"/>
        <c:overlap val="0"/>
        <c:axId val="526599670"/>
        <c:axId val="182394089"/>
      </c:barChart>
      <c:lineChart>
        <c:grouping val="standard"/>
        <c:varyColors val="0"/>
        <c:ser>
          <c:idx val="0"/>
          <c:order val="0"/>
          <c:tx>
            <c:strRef>
              <c:f>Sheet1!$B$1</c:f>
              <c:strCache>
                <c:ptCount val="1"/>
                <c:pt idx="0">
                  <c:v>GDP增长率（%）</c:v>
                </c:pt>
              </c:strCache>
            </c:strRef>
          </c:tx>
          <c:spPr>
            <a:ln w="19050" cap="rnd">
              <a:solidFill>
                <a:schemeClr val="accent1"/>
              </a:solidFill>
              <a:round/>
            </a:ln>
            <a:effectLst/>
            <a:sp3d contourW="19050"/>
          </c:spPr>
          <c:marker>
            <c:symbol val="none"/>
          </c:marker>
          <c:dLbls>
            <c:delete val="1"/>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Sheet1!$B$2:$B$11</c:f>
              <c:numCache>
                <c:formatCode>0.00%</c:formatCode>
                <c:ptCount val="10"/>
                <c:pt idx="0">
                  <c:v>0.069</c:v>
                </c:pt>
                <c:pt idx="1">
                  <c:v>0.068</c:v>
                </c:pt>
                <c:pt idx="2">
                  <c:v>0.069</c:v>
                </c:pt>
                <c:pt idx="3">
                  <c:v>0.066</c:v>
                </c:pt>
                <c:pt idx="4">
                  <c:v>0.06</c:v>
                </c:pt>
                <c:pt idx="5">
                  <c:v>0.017</c:v>
                </c:pt>
                <c:pt idx="6">
                  <c:v>0.081</c:v>
                </c:pt>
                <c:pt idx="7">
                  <c:v>-0.002</c:v>
                </c:pt>
                <c:pt idx="8">
                  <c:v>0.05</c:v>
                </c:pt>
                <c:pt idx="9">
                  <c:v>0.048</c:v>
                </c:pt>
              </c:numCache>
            </c:numRef>
          </c:val>
          <c:smooth val="1"/>
        </c:ser>
        <c:ser>
          <c:idx val="1"/>
          <c:order val="1"/>
          <c:tx>
            <c:strRef>
              <c:f>Sheet1!$C$1</c:f>
              <c:strCache>
                <c:ptCount val="1"/>
                <c:pt idx="0">
                  <c:v>售电量增长率（%）</c:v>
                </c:pt>
              </c:strCache>
            </c:strRef>
          </c:tx>
          <c:spPr>
            <a:ln w="19050" cap="rnd">
              <a:solidFill>
                <a:schemeClr val="accent2"/>
              </a:solidFill>
              <a:round/>
            </a:ln>
            <a:effectLst/>
            <a:sp3d contourW="19050"/>
          </c:spPr>
          <c:marker>
            <c:symbol val="none"/>
          </c:marker>
          <c:dLbls>
            <c:delete val="1"/>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Sheet1!$C$2:$C$11</c:f>
              <c:numCache>
                <c:formatCode>0.00%</c:formatCode>
                <c:ptCount val="10"/>
                <c:pt idx="0">
                  <c:v>0.041</c:v>
                </c:pt>
                <c:pt idx="1">
                  <c:v>0.0455</c:v>
                </c:pt>
                <c:pt idx="2">
                  <c:v>0.0286</c:v>
                </c:pt>
                <c:pt idx="3">
                  <c:v>0.0344</c:v>
                </c:pt>
                <c:pt idx="4">
                  <c:v>0.0448</c:v>
                </c:pt>
                <c:pt idx="5">
                  <c:v>-0.033</c:v>
                </c:pt>
                <c:pt idx="6">
                  <c:v>0.1128</c:v>
                </c:pt>
                <c:pt idx="7">
                  <c:v>-0.0112</c:v>
                </c:pt>
                <c:pt idx="8">
                  <c:v>0.0988</c:v>
                </c:pt>
                <c:pt idx="9">
                  <c:v>0.055</c:v>
                </c:pt>
              </c:numCache>
            </c:numRef>
          </c:val>
          <c:smooth val="1"/>
        </c:ser>
        <c:dLbls>
          <c:showLegendKey val="0"/>
          <c:showVal val="0"/>
          <c:showCatName val="0"/>
          <c:showSerName val="0"/>
          <c:showPercent val="0"/>
          <c:showBubbleSize val="0"/>
        </c:dLbls>
        <c:marker val="0"/>
        <c:smooth val="1"/>
        <c:axId val="240771944"/>
        <c:axId val="169176893"/>
      </c:lineChart>
      <c:catAx>
        <c:axId val="240771944"/>
        <c:scaling>
          <c:orientation val="minMax"/>
        </c:scaling>
        <c:delete val="0"/>
        <c:axPos val="b"/>
        <c:majorTickMark val="out"/>
        <c:minorTickMark val="out"/>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69176893"/>
        <c:crosses val="autoZero"/>
        <c:auto val="1"/>
        <c:lblAlgn val="ctr"/>
        <c:lblOffset val="100"/>
        <c:noMultiLvlLbl val="0"/>
      </c:catAx>
      <c:valAx>
        <c:axId val="169176893"/>
        <c:scaling>
          <c:orientation val="minMax"/>
        </c:scaling>
        <c:delete val="0"/>
        <c:axPos val="l"/>
        <c:majorGridlines>
          <c:spPr>
            <a:ln w="9525" cap="flat" cmpd="sng" algn="ctr">
              <a:solidFill>
                <a:schemeClr val="lt1">
                  <a:lumMod val="90200"/>
                </a:schemeClr>
              </a:solidFill>
              <a:round/>
            </a:ln>
            <a:effectLst/>
          </c:spPr>
        </c:majorGridlines>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240771944"/>
        <c:crosses val="autoZero"/>
        <c:crossBetween val="between"/>
      </c:valAx>
      <c:catAx>
        <c:axId val="526599670"/>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82394089"/>
        <c:crosses val="autoZero"/>
        <c:auto val="1"/>
        <c:lblAlgn val="ctr"/>
        <c:lblOffset val="100"/>
        <c:noMultiLvlLbl val="0"/>
      </c:catAx>
      <c:valAx>
        <c:axId val="182394089"/>
        <c:scaling>
          <c:orientation val="minMax"/>
        </c:scaling>
        <c:delete val="0"/>
        <c:axPos val="r"/>
        <c:numFmt formatCode="0_);[Red]\(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526599670"/>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2"/>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manualLayout>
          <c:xMode val="edge"/>
          <c:yMode val="edge"/>
          <c:x val="0.00362406378352259"/>
          <c:y val="0.90692732681683"/>
          <c:w val="0.992751872432955"/>
          <c:h val="0.086697832554186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61234329797493"/>
          <c:y val="0.0408042578356002"/>
          <c:w val="0.876542912246866"/>
          <c:h val="0.555647545830869"/>
        </c:manualLayout>
      </c:layout>
      <c:barChart>
        <c:barDir val="col"/>
        <c:grouping val="clustered"/>
        <c:varyColors val="0"/>
        <c:ser>
          <c:idx val="0"/>
          <c:order val="0"/>
          <c:tx>
            <c:strRef>
              <c:f>Sheet1!$B$1</c:f>
              <c:strCache>
                <c:ptCount val="1"/>
                <c:pt idx="0">
                  <c:v>GDP增幅</c:v>
                </c:pt>
              </c:strCache>
            </c:strRef>
          </c:tx>
          <c:spPr>
            <a:solidFill>
              <a:schemeClr val="accent1"/>
            </a:solidFill>
            <a:ln w="25400" cap="rnd">
              <a:noFill/>
              <a:round/>
            </a:ln>
            <a:effectLst/>
            <a:sp3d contourW="25400"/>
          </c:spPr>
          <c:invertIfNegative val="0"/>
          <c:dLbls>
            <c:delete val="1"/>
          </c:dLbls>
          <c:cat>
            <c:strRef>
              <c:f>Sheet1!$A$2:$A$8</c:f>
              <c:strCache>
                <c:ptCount val="7"/>
                <c:pt idx="0">
                  <c:v>批发和
零售业</c:v>
                </c:pt>
                <c:pt idx="1">
                  <c:v>交通运输、仓
储和邮政业</c:v>
                </c:pt>
                <c:pt idx="2">
                  <c:v>住宿和餐饮业</c:v>
                </c:pt>
                <c:pt idx="3">
                  <c:v>信息传输、软件
和信息技术服务业</c:v>
                </c:pt>
                <c:pt idx="4">
                  <c:v>金融业</c:v>
                </c:pt>
                <c:pt idx="5">
                  <c:v>房地产业</c:v>
                </c:pt>
                <c:pt idx="6">
                  <c:v>租赁和商
务服务业</c:v>
                </c:pt>
              </c:strCache>
            </c:strRef>
          </c:cat>
          <c:val>
            <c:numRef>
              <c:f>Sheet1!$B$2:$B$8</c:f>
              <c:numCache>
                <c:formatCode>0.00%</c:formatCode>
                <c:ptCount val="7"/>
                <c:pt idx="0">
                  <c:v>-0.008</c:v>
                </c:pt>
                <c:pt idx="1">
                  <c:v>0.16</c:v>
                </c:pt>
                <c:pt idx="2">
                  <c:v>-0.024</c:v>
                </c:pt>
                <c:pt idx="3">
                  <c:v>0.134</c:v>
                </c:pt>
                <c:pt idx="4">
                  <c:v>0.057</c:v>
                </c:pt>
                <c:pt idx="5">
                  <c:v>0.021</c:v>
                </c:pt>
                <c:pt idx="6">
                  <c:v>0.065</c:v>
                </c:pt>
              </c:numCache>
            </c:numRef>
          </c:val>
        </c:ser>
        <c:ser>
          <c:idx val="2"/>
          <c:order val="1"/>
          <c:tx>
            <c:strRef>
              <c:f>Sheet1!$C$1</c:f>
              <c:strCache>
                <c:ptCount val="1"/>
                <c:pt idx="0">
                  <c:v>售电量增幅</c:v>
                </c:pt>
              </c:strCache>
            </c:strRef>
          </c:tx>
          <c:spPr>
            <a:solidFill>
              <a:schemeClr val="accent3"/>
            </a:solidFill>
            <a:ln w="25400" cap="rnd" cmpd="sng">
              <a:noFill/>
              <a:prstDash val="sysDot"/>
              <a:round/>
            </a:ln>
            <a:effectLst/>
            <a:sp3d contourW="25400"/>
          </c:spPr>
          <c:invertIfNegative val="0"/>
          <c:dLbls>
            <c:delete val="1"/>
          </c:dLbls>
          <c:cat>
            <c:strRef>
              <c:f>Sheet1!$A$2:$A$8</c:f>
              <c:strCache>
                <c:ptCount val="7"/>
                <c:pt idx="0">
                  <c:v>批发和
零售业</c:v>
                </c:pt>
                <c:pt idx="1">
                  <c:v>交通运输、仓
储和邮政业</c:v>
                </c:pt>
                <c:pt idx="2">
                  <c:v>住宿和餐饮业</c:v>
                </c:pt>
                <c:pt idx="3">
                  <c:v>信息传输、软件
和信息技术服务业</c:v>
                </c:pt>
                <c:pt idx="4">
                  <c:v>金融业</c:v>
                </c:pt>
                <c:pt idx="5">
                  <c:v>房地产业</c:v>
                </c:pt>
                <c:pt idx="6">
                  <c:v>租赁和商
务服务业</c:v>
                </c:pt>
              </c:strCache>
            </c:strRef>
          </c:cat>
          <c:val>
            <c:numRef>
              <c:f>Sheet1!$C$2:$C$8</c:f>
              <c:numCache>
                <c:formatCode>0.00%</c:formatCode>
                <c:ptCount val="7"/>
                <c:pt idx="0">
                  <c:v>0.00595241222847598</c:v>
                </c:pt>
                <c:pt idx="1">
                  <c:v>0.0996916517436592</c:v>
                </c:pt>
                <c:pt idx="2">
                  <c:v>0.16236906493975</c:v>
                </c:pt>
                <c:pt idx="3">
                  <c:v>0.0656379185524498</c:v>
                </c:pt>
                <c:pt idx="4">
                  <c:v>0.0579065174952034</c:v>
                </c:pt>
                <c:pt idx="5">
                  <c:v>0.0625937793748794</c:v>
                </c:pt>
                <c:pt idx="6">
                  <c:v>0.148481151087846</c:v>
                </c:pt>
              </c:numCache>
            </c:numRef>
          </c:val>
        </c:ser>
        <c:dLbls>
          <c:showLegendKey val="0"/>
          <c:showVal val="0"/>
          <c:showCatName val="0"/>
          <c:showSerName val="0"/>
          <c:showPercent val="0"/>
          <c:showBubbleSize val="0"/>
        </c:dLbls>
        <c:gapWidth val="150"/>
        <c:overlap val="0"/>
        <c:axId val="240771944"/>
        <c:axId val="169176893"/>
      </c:barChart>
      <c:lineChart>
        <c:grouping val="standard"/>
        <c:varyColors val="0"/>
        <c:ser>
          <c:idx val="1"/>
          <c:order val="2"/>
          <c:tx>
            <c:strRef>
              <c:f>Sheet1!$D$1</c:f>
              <c:strCache>
                <c:ptCount val="1"/>
                <c:pt idx="0">
                  <c:v>弹性系数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批发和
零售业</c:v>
                </c:pt>
                <c:pt idx="1">
                  <c:v>交通运输、仓
储和邮政业</c:v>
                </c:pt>
                <c:pt idx="2">
                  <c:v>住宿和餐饮业</c:v>
                </c:pt>
                <c:pt idx="3">
                  <c:v>信息传输、软件
和信息技术服务业</c:v>
                </c:pt>
                <c:pt idx="4">
                  <c:v>金融业</c:v>
                </c:pt>
                <c:pt idx="5">
                  <c:v>房地产业</c:v>
                </c:pt>
                <c:pt idx="6">
                  <c:v>租赁和商
务服务业</c:v>
                </c:pt>
              </c:strCache>
            </c:strRef>
          </c:cat>
          <c:val>
            <c:numRef>
              <c:f>Sheet1!$D$2:$D$8</c:f>
              <c:numCache>
                <c:formatCode>0.00_ </c:formatCode>
                <c:ptCount val="7"/>
                <c:pt idx="0">
                  <c:v>-0.744051528559497</c:v>
                </c:pt>
                <c:pt idx="1">
                  <c:v>0.62307282339787</c:v>
                </c:pt>
                <c:pt idx="2">
                  <c:v>-6.76537770582294</c:v>
                </c:pt>
                <c:pt idx="3">
                  <c:v>0.489835213077984</c:v>
                </c:pt>
                <c:pt idx="4">
                  <c:v>1.01590381570532</c:v>
                </c:pt>
                <c:pt idx="5">
                  <c:v>2.98065616070854</c:v>
                </c:pt>
                <c:pt idx="6">
                  <c:v>2.28432540135147</c:v>
                </c:pt>
              </c:numCache>
            </c:numRef>
          </c:val>
          <c:smooth val="1"/>
        </c:ser>
        <c:dLbls>
          <c:showLegendKey val="0"/>
          <c:showVal val="0"/>
          <c:showCatName val="0"/>
          <c:showSerName val="0"/>
          <c:showPercent val="0"/>
          <c:showBubbleSize val="0"/>
        </c:dLbls>
        <c:marker val="1"/>
        <c:smooth val="1"/>
        <c:axId val="166607537"/>
        <c:axId val="612441943"/>
      </c:lineChart>
      <c:catAx>
        <c:axId val="240771944"/>
        <c:scaling>
          <c:orientation val="minMax"/>
        </c:scaling>
        <c:delete val="0"/>
        <c:axPos val="b"/>
        <c:majorTickMark val="out"/>
        <c:minorTickMark val="out"/>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7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69176893"/>
        <c:crosses val="autoZero"/>
        <c:auto val="1"/>
        <c:lblAlgn val="ctr"/>
        <c:lblOffset val="100"/>
        <c:noMultiLvlLbl val="0"/>
      </c:catAx>
      <c:valAx>
        <c:axId val="169176893"/>
        <c:scaling>
          <c:orientation val="minMax"/>
        </c:scaling>
        <c:delete val="0"/>
        <c:axPos val="l"/>
        <c:majorGridlines>
          <c:spPr>
            <a:ln w="9525" cap="flat" cmpd="sng" algn="ctr">
              <a:solidFill>
                <a:schemeClr val="lt1">
                  <a:lumMod val="90200"/>
                </a:schemeClr>
              </a:solidFill>
              <a:round/>
            </a:ln>
            <a:effectLst/>
          </c:spPr>
        </c:majorGridlines>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240771944"/>
        <c:crosses val="autoZero"/>
        <c:crossBetween val="between"/>
      </c:valAx>
      <c:catAx>
        <c:axId val="166607537"/>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612441943"/>
        <c:crosses val="autoZero"/>
        <c:auto val="1"/>
        <c:lblAlgn val="ctr"/>
        <c:lblOffset val="100"/>
        <c:noMultiLvlLbl val="0"/>
      </c:catAx>
      <c:valAx>
        <c:axId val="612441943"/>
        <c:scaling>
          <c:orientation val="minMax"/>
        </c:scaling>
        <c:delete val="0"/>
        <c:axPos val="r"/>
        <c:numFmt formatCode="0_);[Red]\(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66607537"/>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2"/>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manualLayout>
          <c:xMode val="edge"/>
          <c:yMode val="edge"/>
          <c:x val="0.00303152789005659"/>
          <c:y val="0.887315547476475"/>
          <c:w val="0.992751872432955"/>
          <c:h val="0.10598802395209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b="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62454699202706"/>
          <c:y val="0.0437125748502994"/>
          <c:w val="0.940130466296207"/>
          <c:h val="0.65940119760479"/>
        </c:manualLayout>
      </c:layout>
      <c:barChart>
        <c:barDir val="col"/>
        <c:grouping val="clustered"/>
        <c:varyColors val="0"/>
        <c:ser>
          <c:idx val="0"/>
          <c:order val="0"/>
          <c:tx>
            <c:strRef>
              <c:f>Sheet1!$B$1</c:f>
              <c:strCache>
                <c:ptCount val="1"/>
                <c:pt idx="0">
                  <c:v>充换电售电量（亿千瓦时）</c:v>
                </c:pt>
              </c:strCache>
            </c:strRef>
          </c:tx>
          <c:spPr>
            <a:solidFill>
              <a:schemeClr val="accent1"/>
            </a:solidFill>
            <a:ln w="25400" cap="rnd">
              <a:noFill/>
              <a:round/>
            </a:ln>
            <a:effectLst/>
            <a:sp3d contourW="25400"/>
          </c:spPr>
          <c:invertIfNegative val="0"/>
          <c:dPt>
            <c:idx val="6"/>
            <c:invertIfNegative val="0"/>
            <c:bubble3D val="0"/>
            <c:spPr>
              <a:solidFill>
                <a:schemeClr val="accent1">
                  <a:alpha val="59000"/>
                </a:schemeClr>
              </a:solidFill>
              <a:ln w="25400" cap="rnd">
                <a:noFill/>
                <a:round/>
              </a:ln>
              <a:effectLst/>
              <a:sp3d contourW="25400"/>
            </c:spPr>
          </c:dPt>
          <c:dLbls>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accent1"/>
                    </a:solidFill>
                    <a:latin typeface="黑体" panose="02010609060101010101" charset="-122"/>
                    <a:ea typeface="黑体" panose="02010609060101010101" charset="-122"/>
                    <a:cs typeface="黑体" panose="02010609060101010101" charset="-122"/>
                    <a:sym typeface="黑体" panose="02010609060101010101"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2018年</c:v>
                </c:pt>
                <c:pt idx="1">
                  <c:v>2019年</c:v>
                </c:pt>
                <c:pt idx="2">
                  <c:v>2020年</c:v>
                </c:pt>
                <c:pt idx="3">
                  <c:v>2021年</c:v>
                </c:pt>
                <c:pt idx="4">
                  <c:v>2022年</c:v>
                </c:pt>
                <c:pt idx="5">
                  <c:v>2023年</c:v>
                </c:pt>
                <c:pt idx="6">
                  <c:v>2024年
上半年</c:v>
                </c:pt>
              </c:strCache>
            </c:strRef>
          </c:cat>
          <c:val>
            <c:numRef>
              <c:f>Sheet1!$B$2:$B$8</c:f>
              <c:numCache>
                <c:formatCode>0.00_ </c:formatCode>
                <c:ptCount val="7"/>
                <c:pt idx="0">
                  <c:v>0.91089209</c:v>
                </c:pt>
                <c:pt idx="1">
                  <c:v>1.226456684</c:v>
                </c:pt>
                <c:pt idx="2">
                  <c:v>1.867443636</c:v>
                </c:pt>
                <c:pt idx="3">
                  <c:v>7.4925415011</c:v>
                </c:pt>
                <c:pt idx="4">
                  <c:v>12.44925782</c:v>
                </c:pt>
                <c:pt idx="5">
                  <c:v>25.13639197</c:v>
                </c:pt>
                <c:pt idx="6">
                  <c:v>16.0741773947</c:v>
                </c:pt>
              </c:numCache>
            </c:numRef>
          </c:val>
        </c:ser>
        <c:dLbls>
          <c:showLegendKey val="0"/>
          <c:showVal val="1"/>
          <c:showCatName val="0"/>
          <c:showSerName val="0"/>
          <c:showPercent val="0"/>
          <c:showBubbleSize val="0"/>
        </c:dLbls>
        <c:gapWidth val="150"/>
        <c:overlap val="0"/>
        <c:axId val="240771944"/>
        <c:axId val="169176893"/>
      </c:barChart>
      <c:lineChart>
        <c:grouping val="standard"/>
        <c:varyColors val="0"/>
        <c:ser>
          <c:idx val="2"/>
          <c:order val="1"/>
          <c:tx>
            <c:strRef>
              <c:f>Sheet1!$C$1</c:f>
              <c:strCache>
                <c:ptCount val="1"/>
                <c:pt idx="0">
                  <c:v>占全行业售电量比重</c:v>
                </c:pt>
              </c:strCache>
            </c:strRef>
          </c:tx>
          <c:spPr>
            <a:ln w="25400" cap="rnd" cmpd="sng">
              <a:solidFill>
                <a:schemeClr val="accent2"/>
              </a:solidFill>
              <a:prstDash val="solid"/>
              <a:round/>
            </a:ln>
            <a:effectLst/>
            <a:sp3d contourW="25400"/>
          </c:spPr>
          <c:marker>
            <c:symbol val="triangle"/>
            <c:size val="4"/>
            <c:spPr>
              <a:solidFill>
                <a:schemeClr val="accent2"/>
              </a:solidFill>
              <a:ln w="9525">
                <a:noFill/>
              </a:ln>
              <a:effectLst/>
            </c:spPr>
          </c:marker>
          <c:dLbls>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accent2"/>
                    </a:solidFill>
                    <a:latin typeface="黑体" panose="02010609060101010101" charset="-122"/>
                    <a:ea typeface="黑体" panose="02010609060101010101" charset="-122"/>
                    <a:cs typeface="黑体" panose="02010609060101010101" charset="-122"/>
                    <a:sym typeface="黑体" panose="02010609060101010101" charset="-122"/>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2018年</c:v>
                </c:pt>
                <c:pt idx="1">
                  <c:v>2019年</c:v>
                </c:pt>
                <c:pt idx="2">
                  <c:v>2020年</c:v>
                </c:pt>
                <c:pt idx="3">
                  <c:v>2021年</c:v>
                </c:pt>
                <c:pt idx="4">
                  <c:v>2022年</c:v>
                </c:pt>
                <c:pt idx="5">
                  <c:v>2023年</c:v>
                </c:pt>
                <c:pt idx="6">
                  <c:v>2024年
上半年</c:v>
                </c:pt>
              </c:strCache>
            </c:strRef>
          </c:cat>
          <c:val>
            <c:numRef>
              <c:f>Sheet1!$C$2:$C$8</c:f>
              <c:numCache>
                <c:formatCode>0.00%</c:formatCode>
                <c:ptCount val="7"/>
                <c:pt idx="0">
                  <c:v>0.000850124620262285</c:v>
                </c:pt>
                <c:pt idx="1">
                  <c:v>0.00109557237009083</c:v>
                </c:pt>
                <c:pt idx="2">
                  <c:v>0.00172500538828277</c:v>
                </c:pt>
                <c:pt idx="3">
                  <c:v>0.00629471299073642</c:v>
                </c:pt>
                <c:pt idx="4">
                  <c:v>0.0103479197122956</c:v>
                </c:pt>
                <c:pt idx="5">
                  <c:v>0.0190143215053889</c:v>
                </c:pt>
                <c:pt idx="6">
                  <c:v>0.0253384441670063</c:v>
                </c:pt>
              </c:numCache>
            </c:numRef>
          </c:val>
          <c:smooth val="1"/>
        </c:ser>
        <c:dLbls>
          <c:showLegendKey val="0"/>
          <c:showVal val="1"/>
          <c:showCatName val="0"/>
          <c:showSerName val="0"/>
          <c:showPercent val="0"/>
          <c:showBubbleSize val="0"/>
        </c:dLbls>
        <c:marker val="1"/>
        <c:smooth val="1"/>
        <c:axId val="872173615"/>
        <c:axId val="844961181"/>
      </c:lineChart>
      <c:catAx>
        <c:axId val="240771944"/>
        <c:scaling>
          <c:orientation val="minMax"/>
        </c:scaling>
        <c:delete val="0"/>
        <c:axPos val="b"/>
        <c:majorTickMark val="out"/>
        <c:minorTickMark val="out"/>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69176893"/>
        <c:crosses val="autoZero"/>
        <c:auto val="1"/>
        <c:lblAlgn val="ctr"/>
        <c:lblOffset val="100"/>
        <c:noMultiLvlLbl val="0"/>
      </c:catAx>
      <c:valAx>
        <c:axId val="169176893"/>
        <c:scaling>
          <c:orientation val="minMax"/>
        </c:scaling>
        <c:delete val="0"/>
        <c:axPos val="l"/>
        <c:majorGridlines>
          <c:spPr>
            <a:ln w="9525" cap="flat" cmpd="sng" algn="ctr">
              <a:solidFill>
                <a:schemeClr val="lt1">
                  <a:lumMod val="90200"/>
                </a:schemeClr>
              </a:solidFill>
              <a:round/>
            </a:ln>
            <a:effectLst/>
          </c:spPr>
        </c:majorGridlines>
        <c:numFmt formatCode="#,##0_);[Red]\(#,##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240771944"/>
        <c:crosses val="autoZero"/>
        <c:crossBetween val="between"/>
        <c:majorUnit val="10"/>
      </c:valAx>
      <c:catAx>
        <c:axId val="872173615"/>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844961181"/>
        <c:crosses val="autoZero"/>
        <c:auto val="1"/>
        <c:lblAlgn val="ctr"/>
        <c:lblOffset val="100"/>
        <c:noMultiLvlLbl val="0"/>
      </c:catAx>
      <c:valAx>
        <c:axId val="844961181"/>
        <c:scaling>
          <c:orientation val="minMax"/>
        </c:scaling>
        <c:delete val="0"/>
        <c:axPos val="r"/>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872173615"/>
        <c:crosses val="max"/>
        <c:crossBetween val="between"/>
        <c:majorUnit val="0.01"/>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manualLayout>
          <c:xMode val="edge"/>
          <c:yMode val="edge"/>
          <c:x val="0.00362406378352259"/>
          <c:y val="0.88502994011976"/>
          <c:w val="0.992751872432955"/>
          <c:h val="0.10598802395209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b="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68494805508577"/>
          <c:y val="0.0725933719095213"/>
          <c:w val="0.93952645566562"/>
          <c:h val="0.564650184113624"/>
        </c:manualLayout>
      </c:layout>
      <c:barChart>
        <c:barDir val="col"/>
        <c:grouping val="clustered"/>
        <c:varyColors val="0"/>
        <c:ser>
          <c:idx val="0"/>
          <c:order val="0"/>
          <c:tx>
            <c:strRef>
              <c:f>Sheet1!$A$2</c:f>
              <c:strCache>
                <c:ptCount val="1"/>
                <c:pt idx="0">
                  <c:v>特斯拉（中国）</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Sheet1!$B$1:$D$1</c:f>
              <c:numCache>
                <c:formatCode>General</c:formatCode>
                <c:ptCount val="3"/>
                <c:pt idx="0">
                  <c:v>2021</c:v>
                </c:pt>
                <c:pt idx="1">
                  <c:v>2022</c:v>
                </c:pt>
                <c:pt idx="2">
                  <c:v>2023</c:v>
                </c:pt>
              </c:numCache>
            </c:numRef>
          </c:cat>
          <c:val>
            <c:numRef>
              <c:f>Sheet1!$B$2:$D$2</c:f>
              <c:numCache>
                <c:formatCode>0.00_);[Red]\(0.00\)</c:formatCode>
                <c:ptCount val="3"/>
                <c:pt idx="0">
                  <c:v>48.413</c:v>
                </c:pt>
                <c:pt idx="1">
                  <c:v>71.0865</c:v>
                </c:pt>
                <c:pt idx="2">
                  <c:v>95.7691</c:v>
                </c:pt>
              </c:numCache>
            </c:numRef>
          </c:val>
        </c:ser>
        <c:ser>
          <c:idx val="1"/>
          <c:order val="1"/>
          <c:tx>
            <c:strRef>
              <c:f>Sheet1!$A$3</c:f>
              <c:strCache>
                <c:ptCount val="1"/>
                <c:pt idx="0">
                  <c:v>上汽通用（含全国多个工厂）</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Sheet1!$B$1:$D$1</c:f>
              <c:numCache>
                <c:formatCode>General</c:formatCode>
                <c:ptCount val="3"/>
                <c:pt idx="0">
                  <c:v>2021</c:v>
                </c:pt>
                <c:pt idx="1">
                  <c:v>2022</c:v>
                </c:pt>
                <c:pt idx="2">
                  <c:v>2023</c:v>
                </c:pt>
              </c:numCache>
            </c:numRef>
          </c:cat>
          <c:val>
            <c:numRef>
              <c:f>Sheet1!$B$3:$D$3</c:f>
              <c:numCache>
                <c:formatCode>0.00_);[Red]\(0.00\)</c:formatCode>
                <c:ptCount val="3"/>
                <c:pt idx="0">
                  <c:v>140.99</c:v>
                </c:pt>
                <c:pt idx="1">
                  <c:v>117.01</c:v>
                </c:pt>
                <c:pt idx="2">
                  <c:v>101.8</c:v>
                </c:pt>
              </c:numCache>
            </c:numRef>
          </c:val>
        </c:ser>
        <c:dLbls>
          <c:showLegendKey val="0"/>
          <c:showVal val="1"/>
          <c:showCatName val="0"/>
          <c:showSerName val="0"/>
          <c:showPercent val="0"/>
          <c:showBubbleSize val="0"/>
        </c:dLbls>
        <c:gapWidth val="150"/>
        <c:overlap val="0"/>
        <c:axId val="240771944"/>
        <c:axId val="169176893"/>
      </c:barChart>
      <c:catAx>
        <c:axId val="240771944"/>
        <c:scaling>
          <c:orientation val="minMax"/>
        </c:scaling>
        <c:delete val="0"/>
        <c:axPos val="b"/>
        <c:majorTickMark val="out"/>
        <c:minorTickMark val="out"/>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69176893"/>
        <c:crosses val="autoZero"/>
        <c:auto val="1"/>
        <c:lblAlgn val="ctr"/>
        <c:lblOffset val="100"/>
        <c:noMultiLvlLbl val="0"/>
      </c:catAx>
      <c:valAx>
        <c:axId val="169176893"/>
        <c:scaling>
          <c:orientation val="minMax"/>
        </c:scaling>
        <c:delete val="0"/>
        <c:axPos val="l"/>
        <c:majorGridlines>
          <c:spPr>
            <a:ln w="9525" cap="flat" cmpd="sng" algn="ctr">
              <a:solidFill>
                <a:schemeClr val="lt1">
                  <a:lumMod val="90200"/>
                </a:schemeClr>
              </a:solidFill>
              <a:round/>
            </a:ln>
            <a:effectLst/>
          </c:spPr>
        </c:majorGridlines>
        <c:numFmt formatCode="#,##0_);[Red]\(#,##0\)" sourceLinked="0"/>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240771944"/>
        <c:crosses val="autoZero"/>
        <c:crossBetween val="between"/>
        <c:majorUnit val="100"/>
      </c:valAx>
      <c:spPr>
        <a:noFill/>
        <a:ln>
          <a:noFill/>
        </a:ln>
        <a:effectLst/>
      </c:spPr>
    </c:plotArea>
    <c:legend>
      <c:legendPos val="b"/>
      <c:layout>
        <c:manualLayout>
          <c:xMode val="edge"/>
          <c:yMode val="edge"/>
          <c:x val="0.00362406378352259"/>
          <c:y val="0.86437125748503"/>
          <c:w val="0.992751872432955"/>
          <c:h val="0.12664670658682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453732785697028"/>
          <c:y val="0.0437125748502994"/>
          <c:w val="0.909253442860594"/>
          <c:h val="0.736347305389222"/>
        </c:manualLayout>
      </c:layout>
      <c:barChart>
        <c:barDir val="col"/>
        <c:grouping val="clustered"/>
        <c:varyColors val="0"/>
        <c:ser>
          <c:idx val="0"/>
          <c:order val="0"/>
          <c:tx>
            <c:strRef>
              <c:f>Sheet1!$B$1</c:f>
              <c:strCache>
                <c:ptCount val="1"/>
                <c:pt idx="0">
                  <c:v>数据中心售电量（亿千瓦时）</c:v>
                </c:pt>
              </c:strCache>
            </c:strRef>
          </c:tx>
          <c:spPr>
            <a:solidFill>
              <a:schemeClr val="accent1"/>
            </a:solidFill>
            <a:ln w="25400" cap="rnd">
              <a:noFill/>
              <a:round/>
            </a:ln>
            <a:effectLst/>
            <a:sp3d contourW="25400"/>
          </c:spPr>
          <c:invertIfNegative val="0"/>
          <c:dPt>
            <c:idx val="5"/>
            <c:invertIfNegative val="0"/>
            <c:bubble3D val="0"/>
            <c:spPr>
              <a:solidFill>
                <a:schemeClr val="accent1">
                  <a:alpha val="59000"/>
                </a:schemeClr>
              </a:solidFill>
              <a:ln w="25400" cap="rnd">
                <a:noFill/>
                <a:round/>
              </a:ln>
              <a:effectLst/>
              <a:sp3d contourW="25400"/>
            </c:spPr>
          </c:dPt>
          <c:dLbls>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accent1"/>
                    </a:solidFill>
                    <a:latin typeface="黑体" panose="02010609060101010101" charset="-122"/>
                    <a:ea typeface="黑体" panose="02010609060101010101" charset="-122"/>
                    <a:cs typeface="黑体" panose="02010609060101010101" charset="-122"/>
                    <a:sym typeface="黑体" panose="02010609060101010101"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2019年</c:v>
                </c:pt>
                <c:pt idx="1">
                  <c:v>2020年</c:v>
                </c:pt>
                <c:pt idx="2">
                  <c:v>2021年</c:v>
                </c:pt>
                <c:pt idx="3">
                  <c:v>2022年</c:v>
                </c:pt>
                <c:pt idx="4">
                  <c:v>2023年</c:v>
                </c:pt>
                <c:pt idx="5">
                  <c:v>2024年上半年</c:v>
                </c:pt>
              </c:strCache>
            </c:strRef>
          </c:cat>
          <c:val>
            <c:numRef>
              <c:f>Sheet1!$B$2:$B$7</c:f>
              <c:numCache>
                <c:formatCode>0.00_ </c:formatCode>
                <c:ptCount val="6"/>
                <c:pt idx="0">
                  <c:v>25.08</c:v>
                </c:pt>
                <c:pt idx="1">
                  <c:v>30.94</c:v>
                </c:pt>
                <c:pt idx="2">
                  <c:v>37.33</c:v>
                </c:pt>
                <c:pt idx="3">
                  <c:v>37.61</c:v>
                </c:pt>
                <c:pt idx="4">
                  <c:v>37.08</c:v>
                </c:pt>
                <c:pt idx="5">
                  <c:v>17.9314283</c:v>
                </c:pt>
              </c:numCache>
            </c:numRef>
          </c:val>
        </c:ser>
        <c:dLbls>
          <c:showLegendKey val="0"/>
          <c:showVal val="1"/>
          <c:showCatName val="0"/>
          <c:showSerName val="0"/>
          <c:showPercent val="0"/>
          <c:showBubbleSize val="0"/>
        </c:dLbls>
        <c:gapWidth val="150"/>
        <c:overlap val="0"/>
        <c:axId val="240771944"/>
        <c:axId val="169176893"/>
      </c:barChart>
      <c:lineChart>
        <c:grouping val="standard"/>
        <c:varyColors val="0"/>
        <c:ser>
          <c:idx val="2"/>
          <c:order val="1"/>
          <c:tx>
            <c:strRef>
              <c:f>Sheet1!$C$1</c:f>
              <c:strCache>
                <c:ptCount val="1"/>
                <c:pt idx="0">
                  <c:v>占全行业售电量比重</c:v>
                </c:pt>
              </c:strCache>
            </c:strRef>
          </c:tx>
          <c:spPr>
            <a:ln w="25400" cap="rnd" cmpd="sng">
              <a:solidFill>
                <a:schemeClr val="accent2"/>
              </a:solidFill>
              <a:prstDash val="solid"/>
              <a:round/>
            </a:ln>
            <a:effectLst/>
            <a:sp3d contourW="25400"/>
          </c:spPr>
          <c:marker>
            <c:symbol val="triangle"/>
            <c:size val="4"/>
            <c:spPr>
              <a:solidFill>
                <a:schemeClr val="accent2"/>
              </a:solidFill>
              <a:ln w="9525">
                <a:noFill/>
              </a:ln>
              <a:effectLst/>
            </c:spPr>
          </c:marker>
          <c:dLbls>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accent2"/>
                    </a:solidFill>
                    <a:latin typeface="黑体" panose="02010609060101010101" charset="-122"/>
                    <a:ea typeface="黑体" panose="02010609060101010101" charset="-122"/>
                    <a:cs typeface="黑体" panose="02010609060101010101" charset="-122"/>
                    <a:sym typeface="黑体" panose="02010609060101010101" charset="-122"/>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2019年</c:v>
                </c:pt>
                <c:pt idx="1">
                  <c:v>2020年</c:v>
                </c:pt>
                <c:pt idx="2">
                  <c:v>2021年</c:v>
                </c:pt>
                <c:pt idx="3">
                  <c:v>2022年</c:v>
                </c:pt>
                <c:pt idx="4">
                  <c:v>2023年</c:v>
                </c:pt>
                <c:pt idx="5">
                  <c:v>2024年上半年</c:v>
                </c:pt>
              </c:strCache>
            </c:strRef>
          </c:cat>
          <c:val>
            <c:numRef>
              <c:f>Sheet1!$C$2:$C$7</c:f>
              <c:numCache>
                <c:formatCode>0.00%</c:formatCode>
                <c:ptCount val="6"/>
                <c:pt idx="0">
                  <c:v>0.0224035266800161</c:v>
                </c:pt>
                <c:pt idx="1">
                  <c:v>0.0285800683268756</c:v>
                </c:pt>
                <c:pt idx="2">
                  <c:v>0.0313620733244777</c:v>
                </c:pt>
                <c:pt idx="3">
                  <c:v>0.0312617238719405</c:v>
                </c:pt>
                <c:pt idx="4">
                  <c:v>0.0280490152389926</c:v>
                </c:pt>
                <c:pt idx="5">
                  <c:v>0.0282661117678119</c:v>
                </c:pt>
              </c:numCache>
            </c:numRef>
          </c:val>
          <c:smooth val="1"/>
        </c:ser>
        <c:dLbls>
          <c:showLegendKey val="0"/>
          <c:showVal val="1"/>
          <c:showCatName val="0"/>
          <c:showSerName val="0"/>
          <c:showPercent val="0"/>
          <c:showBubbleSize val="0"/>
        </c:dLbls>
        <c:marker val="1"/>
        <c:smooth val="1"/>
        <c:axId val="872173615"/>
        <c:axId val="844961181"/>
      </c:lineChart>
      <c:catAx>
        <c:axId val="240771944"/>
        <c:scaling>
          <c:orientation val="minMax"/>
        </c:scaling>
        <c:delete val="0"/>
        <c:axPos val="b"/>
        <c:majorTickMark val="out"/>
        <c:minorTickMark val="out"/>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69176893"/>
        <c:crosses val="autoZero"/>
        <c:auto val="1"/>
        <c:lblAlgn val="ctr"/>
        <c:lblOffset val="100"/>
        <c:noMultiLvlLbl val="0"/>
      </c:catAx>
      <c:valAx>
        <c:axId val="169176893"/>
        <c:scaling>
          <c:orientation val="minMax"/>
        </c:scaling>
        <c:delete val="0"/>
        <c:axPos val="l"/>
        <c:majorGridlines>
          <c:spPr>
            <a:ln w="9525" cap="flat" cmpd="sng" algn="ctr">
              <a:solidFill>
                <a:schemeClr val="lt1">
                  <a:lumMod val="90200"/>
                </a:schemeClr>
              </a:solidFill>
              <a:round/>
            </a:ln>
            <a:effectLst/>
          </c:spPr>
        </c:majorGridlines>
        <c:numFmt formatCode="#,##0_);[Red]\(#,##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240771944"/>
        <c:crosses val="autoZero"/>
        <c:crossBetween val="between"/>
        <c:majorUnit val="10"/>
      </c:valAx>
      <c:catAx>
        <c:axId val="872173615"/>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844961181"/>
        <c:crosses val="autoZero"/>
        <c:auto val="1"/>
        <c:lblAlgn val="ctr"/>
        <c:lblOffset val="100"/>
        <c:noMultiLvlLbl val="0"/>
      </c:catAx>
      <c:valAx>
        <c:axId val="844961181"/>
        <c:scaling>
          <c:orientation val="minMax"/>
        </c:scaling>
        <c:delete val="0"/>
        <c:axPos val="r"/>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872173615"/>
        <c:crosses val="max"/>
        <c:crossBetween val="between"/>
        <c:majorUnit val="0.01"/>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manualLayout>
          <c:xMode val="edge"/>
          <c:yMode val="edge"/>
          <c:x val="0.00362406378352259"/>
          <c:y val="0.88502994011976"/>
          <c:w val="0.992751872432955"/>
          <c:h val="0.10598802395209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b="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62454699202706"/>
          <c:y val="0.0369135508454394"/>
          <c:w val="0.865764677458323"/>
          <c:h val="0.516170516789712"/>
        </c:manualLayout>
      </c:layout>
      <c:lineChart>
        <c:grouping val="standard"/>
        <c:varyColors val="0"/>
        <c:ser>
          <c:idx val="0"/>
          <c:order val="0"/>
          <c:tx>
            <c:strRef>
              <c:f>Sheet1!$B$1</c:f>
              <c:strCache>
                <c:ptCount val="1"/>
                <c:pt idx="0">
                  <c:v>售电量（亿千瓦时）</c:v>
                </c:pt>
              </c:strCache>
            </c:strRef>
          </c:tx>
          <c:spPr>
            <a:ln w="25400" cap="rnd">
              <a:solidFill>
                <a:schemeClr val="accent2"/>
              </a:solidFill>
              <a:round/>
            </a:ln>
            <a:effectLst/>
            <a:sp3d contourW="25400"/>
          </c:spPr>
          <c:marker>
            <c:symbol val="none"/>
          </c:marker>
          <c:dLbls>
            <c:delete val="1"/>
          </c:dLbls>
          <c:cat>
            <c:strRef>
              <c:f>Sheet1!$A$2:$A$31</c:f>
              <c:strCache>
                <c:ptCount val="30"/>
                <c:pt idx="0">
                  <c:v>2017年1季度</c:v>
                </c:pt>
                <c:pt idx="1">
                  <c:v>2017年2季度</c:v>
                </c:pt>
                <c:pt idx="2">
                  <c:v>2017年3季度</c:v>
                </c:pt>
                <c:pt idx="3">
                  <c:v>2017年4季度</c:v>
                </c:pt>
                <c:pt idx="4">
                  <c:v>2018年1季度</c:v>
                </c:pt>
                <c:pt idx="5">
                  <c:v>2018年2季度</c:v>
                </c:pt>
                <c:pt idx="6">
                  <c:v>2018年3季度</c:v>
                </c:pt>
                <c:pt idx="7">
                  <c:v>2018年4季度</c:v>
                </c:pt>
                <c:pt idx="8">
                  <c:v>2019年1季度</c:v>
                </c:pt>
                <c:pt idx="9">
                  <c:v>2019年2季度</c:v>
                </c:pt>
                <c:pt idx="10">
                  <c:v>2019年3季度</c:v>
                </c:pt>
                <c:pt idx="11">
                  <c:v>2019年4季度</c:v>
                </c:pt>
                <c:pt idx="12">
                  <c:v>2020年1季度</c:v>
                </c:pt>
                <c:pt idx="13">
                  <c:v>2020年2季度</c:v>
                </c:pt>
                <c:pt idx="14">
                  <c:v>2020年3季度</c:v>
                </c:pt>
                <c:pt idx="15">
                  <c:v>2020年4季度</c:v>
                </c:pt>
                <c:pt idx="16">
                  <c:v>2021年1季度</c:v>
                </c:pt>
                <c:pt idx="17">
                  <c:v>2021年2季度</c:v>
                </c:pt>
                <c:pt idx="18">
                  <c:v>2021年3季度</c:v>
                </c:pt>
                <c:pt idx="19">
                  <c:v>2021年4季度</c:v>
                </c:pt>
                <c:pt idx="20">
                  <c:v>2022年1季度</c:v>
                </c:pt>
                <c:pt idx="21">
                  <c:v>2022年2季度</c:v>
                </c:pt>
                <c:pt idx="22">
                  <c:v>2022年3季度</c:v>
                </c:pt>
                <c:pt idx="23">
                  <c:v>2022年4季度</c:v>
                </c:pt>
                <c:pt idx="24">
                  <c:v>2023年1季度</c:v>
                </c:pt>
                <c:pt idx="25">
                  <c:v>2023年2季度</c:v>
                </c:pt>
                <c:pt idx="26">
                  <c:v>2023年3季度</c:v>
                </c:pt>
                <c:pt idx="27">
                  <c:v>2023年4季度</c:v>
                </c:pt>
                <c:pt idx="28">
                  <c:v>2024年1季度</c:v>
                </c:pt>
                <c:pt idx="29">
                  <c:v>2024年2季度</c:v>
                </c:pt>
              </c:strCache>
            </c:strRef>
          </c:cat>
          <c:val>
            <c:numRef>
              <c:f>Sheet1!$B$2:$B$31</c:f>
              <c:numCache>
                <c:formatCode>General</c:formatCode>
                <c:ptCount val="30"/>
                <c:pt idx="0">
                  <c:v>244.06261307</c:v>
                </c:pt>
                <c:pt idx="1">
                  <c:v>244.40348448</c:v>
                </c:pt>
                <c:pt idx="2">
                  <c:v>319.03472102</c:v>
                </c:pt>
                <c:pt idx="3">
                  <c:v>253.42226349</c:v>
                </c:pt>
                <c:pt idx="4">
                  <c:v>256.57212975</c:v>
                </c:pt>
                <c:pt idx="5">
                  <c:v>252.47507059</c:v>
                </c:pt>
                <c:pt idx="6">
                  <c:v>327.58186764</c:v>
                </c:pt>
                <c:pt idx="7">
                  <c:v>268.60082582</c:v>
                </c:pt>
                <c:pt idx="8">
                  <c:v>261.351300476</c:v>
                </c:pt>
                <c:pt idx="9">
                  <c:v>257.3866508914</c:v>
                </c:pt>
                <c:pt idx="10">
                  <c:v>319.2138934067</c:v>
                </c:pt>
                <c:pt idx="11">
                  <c:v>271.2957265419</c:v>
                </c:pt>
                <c:pt idx="12">
                  <c:v>224.305092836</c:v>
                </c:pt>
                <c:pt idx="13">
                  <c:v>260.388998865</c:v>
                </c:pt>
                <c:pt idx="14">
                  <c:v>333.1796550526</c:v>
                </c:pt>
                <c:pt idx="15">
                  <c:v>282.6849022604</c:v>
                </c:pt>
                <c:pt idx="16">
                  <c:v>281.018409046</c:v>
                </c:pt>
                <c:pt idx="17">
                  <c:v>290.7970211887</c:v>
                </c:pt>
                <c:pt idx="18">
                  <c:v>364.4082157731</c:v>
                </c:pt>
                <c:pt idx="19">
                  <c:v>314.4472808303</c:v>
                </c:pt>
                <c:pt idx="20">
                  <c:v>285.56944374</c:v>
                </c:pt>
                <c:pt idx="21">
                  <c:v>238.58017095</c:v>
                </c:pt>
                <c:pt idx="22">
                  <c:v>376.88106482</c:v>
                </c:pt>
                <c:pt idx="23">
                  <c:v>301.4954545</c:v>
                </c:pt>
                <c:pt idx="24">
                  <c:v>293.26587079</c:v>
                </c:pt>
                <c:pt idx="25">
                  <c:v>308.31611634</c:v>
                </c:pt>
                <c:pt idx="26">
                  <c:v>396.27339932</c:v>
                </c:pt>
                <c:pt idx="27">
                  <c:v>323.88155777</c:v>
                </c:pt>
                <c:pt idx="28">
                  <c:v>319.49570825</c:v>
                </c:pt>
                <c:pt idx="29">
                  <c:v>315.16849513</c:v>
                </c:pt>
              </c:numCache>
            </c:numRef>
          </c:val>
          <c:smooth val="1"/>
        </c:ser>
        <c:dLbls>
          <c:showLegendKey val="0"/>
          <c:showVal val="0"/>
          <c:showCatName val="0"/>
          <c:showSerName val="0"/>
          <c:showPercent val="0"/>
          <c:showBubbleSize val="0"/>
        </c:dLbls>
        <c:marker val="0"/>
        <c:smooth val="1"/>
        <c:axId val="240771944"/>
        <c:axId val="169176893"/>
      </c:lineChart>
      <c:lineChart>
        <c:grouping val="standard"/>
        <c:varyColors val="0"/>
        <c:ser>
          <c:idx val="2"/>
          <c:order val="1"/>
          <c:tx>
            <c:strRef>
              <c:f>Sheet1!$C$1</c:f>
              <c:strCache>
                <c:ptCount val="1"/>
                <c:pt idx="0">
                  <c:v>GDP（亿元）</c:v>
                </c:pt>
              </c:strCache>
            </c:strRef>
          </c:tx>
          <c:spPr>
            <a:ln w="25400" cap="rnd" cmpd="sng">
              <a:solidFill>
                <a:schemeClr val="accent1"/>
              </a:solidFill>
              <a:prstDash val="solid"/>
              <a:round/>
            </a:ln>
            <a:effectLst/>
            <a:sp3d contourW="25400"/>
          </c:spPr>
          <c:marker>
            <c:symbol val="none"/>
          </c:marker>
          <c:dLbls>
            <c:delete val="1"/>
          </c:dLbls>
          <c:cat>
            <c:strRef>
              <c:f>Sheet1!$A$2:$A$31</c:f>
              <c:strCache>
                <c:ptCount val="30"/>
                <c:pt idx="0">
                  <c:v>2017年1季度</c:v>
                </c:pt>
                <c:pt idx="1">
                  <c:v>2017年2季度</c:v>
                </c:pt>
                <c:pt idx="2">
                  <c:v>2017年3季度</c:v>
                </c:pt>
                <c:pt idx="3">
                  <c:v>2017年4季度</c:v>
                </c:pt>
                <c:pt idx="4">
                  <c:v>2018年1季度</c:v>
                </c:pt>
                <c:pt idx="5">
                  <c:v>2018年2季度</c:v>
                </c:pt>
                <c:pt idx="6">
                  <c:v>2018年3季度</c:v>
                </c:pt>
                <c:pt idx="7">
                  <c:v>2018年4季度</c:v>
                </c:pt>
                <c:pt idx="8">
                  <c:v>2019年1季度</c:v>
                </c:pt>
                <c:pt idx="9">
                  <c:v>2019年2季度</c:v>
                </c:pt>
                <c:pt idx="10">
                  <c:v>2019年3季度</c:v>
                </c:pt>
                <c:pt idx="11">
                  <c:v>2019年4季度</c:v>
                </c:pt>
                <c:pt idx="12">
                  <c:v>2020年1季度</c:v>
                </c:pt>
                <c:pt idx="13">
                  <c:v>2020年2季度</c:v>
                </c:pt>
                <c:pt idx="14">
                  <c:v>2020年3季度</c:v>
                </c:pt>
                <c:pt idx="15">
                  <c:v>2020年4季度</c:v>
                </c:pt>
                <c:pt idx="16">
                  <c:v>2021年1季度</c:v>
                </c:pt>
                <c:pt idx="17">
                  <c:v>2021年2季度</c:v>
                </c:pt>
                <c:pt idx="18">
                  <c:v>2021年3季度</c:v>
                </c:pt>
                <c:pt idx="19">
                  <c:v>2021年4季度</c:v>
                </c:pt>
                <c:pt idx="20">
                  <c:v>2022年1季度</c:v>
                </c:pt>
                <c:pt idx="21">
                  <c:v>2022年2季度</c:v>
                </c:pt>
                <c:pt idx="22">
                  <c:v>2022年3季度</c:v>
                </c:pt>
                <c:pt idx="23">
                  <c:v>2022年4季度</c:v>
                </c:pt>
                <c:pt idx="24">
                  <c:v>2023年1季度</c:v>
                </c:pt>
                <c:pt idx="25">
                  <c:v>2023年2季度</c:v>
                </c:pt>
                <c:pt idx="26">
                  <c:v>2023年3季度</c:v>
                </c:pt>
                <c:pt idx="27">
                  <c:v>2023年4季度</c:v>
                </c:pt>
                <c:pt idx="28">
                  <c:v>2024年1季度</c:v>
                </c:pt>
                <c:pt idx="29">
                  <c:v>2024年2季度</c:v>
                </c:pt>
              </c:strCache>
            </c:strRef>
          </c:cat>
          <c:val>
            <c:numRef>
              <c:f>Sheet1!$C$2:$C$31</c:f>
              <c:numCache>
                <c:formatCode>General</c:formatCode>
                <c:ptCount val="30"/>
                <c:pt idx="0">
                  <c:v>6922.84</c:v>
                </c:pt>
                <c:pt idx="1">
                  <c:v>6985.73</c:v>
                </c:pt>
                <c:pt idx="2">
                  <c:v>7708.95</c:v>
                </c:pt>
                <c:pt idx="3">
                  <c:v>9015.47</c:v>
                </c:pt>
                <c:pt idx="4">
                  <c:v>7863.4</c:v>
                </c:pt>
                <c:pt idx="5">
                  <c:v>7694.75</c:v>
                </c:pt>
                <c:pt idx="6">
                  <c:v>8098.54</c:v>
                </c:pt>
                <c:pt idx="7">
                  <c:v>12355.13</c:v>
                </c:pt>
                <c:pt idx="8">
                  <c:v>8308.28</c:v>
                </c:pt>
                <c:pt idx="9">
                  <c:v>8101.66</c:v>
                </c:pt>
                <c:pt idx="10">
                  <c:v>8951.26</c:v>
                </c:pt>
                <c:pt idx="11">
                  <c:v>12794.12</c:v>
                </c:pt>
                <c:pt idx="12">
                  <c:v>7856.62</c:v>
                </c:pt>
                <c:pt idx="13">
                  <c:v>9500.18</c:v>
                </c:pt>
                <c:pt idx="14">
                  <c:v>9945.19</c:v>
                </c:pt>
                <c:pt idx="15">
                  <c:v>11398.59</c:v>
                </c:pt>
                <c:pt idx="16">
                  <c:v>9458.86</c:v>
                </c:pt>
                <c:pt idx="17">
                  <c:v>10643.67</c:v>
                </c:pt>
                <c:pt idx="18">
                  <c:v>10764.2</c:v>
                </c:pt>
                <c:pt idx="19">
                  <c:v>12348.12</c:v>
                </c:pt>
                <c:pt idx="20">
                  <c:v>10010.25</c:v>
                </c:pt>
                <c:pt idx="21">
                  <c:v>9339.06</c:v>
                </c:pt>
                <c:pt idx="22">
                  <c:v>11607.34</c:v>
                </c:pt>
                <c:pt idx="23">
                  <c:v>13696.15</c:v>
                </c:pt>
                <c:pt idx="24">
                  <c:v>10536.22</c:v>
                </c:pt>
                <c:pt idx="25">
                  <c:v>10853.95</c:v>
                </c:pt>
                <c:pt idx="26">
                  <c:v>11629.06</c:v>
                </c:pt>
                <c:pt idx="27">
                  <c:v>14199.43</c:v>
                </c:pt>
                <c:pt idx="28">
                  <c:v>11098.46</c:v>
                </c:pt>
                <c:pt idx="29">
                  <c:v>11247.13</c:v>
                </c:pt>
              </c:numCache>
            </c:numRef>
          </c:val>
          <c:smooth val="1"/>
        </c:ser>
        <c:dLbls>
          <c:showLegendKey val="0"/>
          <c:showVal val="0"/>
          <c:showCatName val="0"/>
          <c:showSerName val="0"/>
          <c:showPercent val="0"/>
          <c:showBubbleSize val="0"/>
        </c:dLbls>
        <c:marker val="0"/>
        <c:smooth val="1"/>
        <c:axId val="136943012"/>
        <c:axId val="305642024"/>
      </c:lineChart>
      <c:catAx>
        <c:axId val="240771944"/>
        <c:scaling>
          <c:orientation val="minMax"/>
        </c:scaling>
        <c:delete val="0"/>
        <c:axPos val="b"/>
        <c:majorTickMark val="out"/>
        <c:minorTickMark val="out"/>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69176893"/>
        <c:crosses val="autoZero"/>
        <c:auto val="1"/>
        <c:lblAlgn val="ctr"/>
        <c:lblOffset val="100"/>
        <c:noMultiLvlLbl val="0"/>
      </c:catAx>
      <c:valAx>
        <c:axId val="169176893"/>
        <c:scaling>
          <c:orientation val="minMax"/>
        </c:scaling>
        <c:delete val="0"/>
        <c:axPos val="l"/>
        <c:majorGridlines>
          <c:spPr>
            <a:ln w="9525" cap="flat" cmpd="sng" algn="ctr">
              <a:solidFill>
                <a:schemeClr val="lt1">
                  <a:lumMod val="90200"/>
                </a:schemeClr>
              </a:solidFill>
              <a:round/>
            </a:ln>
            <a:effectLst/>
          </c:spPr>
        </c:majorGridlines>
        <c:numFmt formatCode="#,##0_);[Red]\(#,##0\)" sourceLinked="0"/>
        <c:majorTickMark val="none"/>
        <c:minorTickMark val="cross"/>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accent2"/>
                </a:solidFill>
                <a:latin typeface="黑体" panose="02010609060101010101" charset="-122"/>
                <a:ea typeface="黑体" panose="02010609060101010101" charset="-122"/>
                <a:cs typeface="黑体" panose="02010609060101010101" charset="-122"/>
                <a:sym typeface="黑体" panose="02010609060101010101" charset="-122"/>
              </a:defRPr>
            </a:pPr>
          </a:p>
        </c:txPr>
        <c:crossAx val="240771944"/>
        <c:crosses val="autoZero"/>
        <c:crossBetween val="between"/>
      </c:valAx>
      <c:catAx>
        <c:axId val="136943012"/>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305642024"/>
        <c:crosses val="autoZero"/>
        <c:auto val="1"/>
        <c:lblAlgn val="ctr"/>
        <c:lblOffset val="100"/>
        <c:noMultiLvlLbl val="0"/>
      </c:catAx>
      <c:valAx>
        <c:axId val="305642024"/>
        <c:scaling>
          <c:orientation val="minMax"/>
          <c:min val="6000"/>
        </c:scaling>
        <c:delete val="0"/>
        <c:axPos val="r"/>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accent1"/>
                </a:solidFill>
                <a:latin typeface="黑体" panose="02010609060101010101" charset="-122"/>
                <a:ea typeface="黑体" panose="02010609060101010101" charset="-122"/>
                <a:cs typeface="黑体" panose="02010609060101010101" charset="-122"/>
                <a:sym typeface="黑体" panose="02010609060101010101" charset="-122"/>
              </a:defRPr>
            </a:pPr>
          </a:p>
        </c:txPr>
        <c:crossAx val="136943012"/>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manualLayout>
          <c:xMode val="edge"/>
          <c:yMode val="edge"/>
          <c:x val="0.00362406378352259"/>
          <c:y val="0.88502994011976"/>
          <c:w val="0.992751872432955"/>
          <c:h val="0.10598802395209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b="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671176612708384"/>
          <c:y val="0.0369135508454394"/>
          <c:w val="0.887509060159459"/>
          <c:h val="0.536889735651346"/>
        </c:manualLayout>
      </c:layout>
      <c:barChart>
        <c:barDir val="col"/>
        <c:grouping val="clustered"/>
        <c:varyColors val="0"/>
        <c:ser>
          <c:idx val="1"/>
          <c:order val="2"/>
          <c:tx>
            <c:strRef>
              <c:f>Sheet1!$D$1</c:f>
              <c:strCache>
                <c:ptCount val="1"/>
                <c:pt idx="0">
                  <c:v>电力消费弹性系数</c:v>
                </c:pt>
              </c:strCache>
            </c:strRef>
          </c:tx>
          <c:spPr>
            <a:solidFill>
              <a:schemeClr val="bg1">
                <a:lumMod val="65000"/>
              </a:schemeClr>
            </a:solidFill>
            <a:ln>
              <a:noFill/>
            </a:ln>
            <a:effectLst/>
          </c:spPr>
          <c:invertIfNegative val="0"/>
          <c:dLbls>
            <c:delete val="1"/>
          </c:dLbls>
          <c:cat>
            <c:strRef>
              <c:f>Sheet1!$A$2:$A$27</c:f>
              <c:strCache>
                <c:ptCount val="26"/>
                <c:pt idx="0">
                  <c:v>2018年1季度</c:v>
                </c:pt>
                <c:pt idx="1">
                  <c:v>2018年2季度</c:v>
                </c:pt>
                <c:pt idx="2">
                  <c:v>2018年3季度</c:v>
                </c:pt>
                <c:pt idx="3">
                  <c:v>2018年4季度</c:v>
                </c:pt>
                <c:pt idx="4">
                  <c:v>2019年1季度</c:v>
                </c:pt>
                <c:pt idx="5">
                  <c:v>2019年2季度</c:v>
                </c:pt>
                <c:pt idx="6">
                  <c:v>2019年3季度</c:v>
                </c:pt>
                <c:pt idx="7">
                  <c:v>2019年4季度</c:v>
                </c:pt>
                <c:pt idx="8">
                  <c:v>2020年1季度</c:v>
                </c:pt>
                <c:pt idx="9">
                  <c:v>2020年2季度</c:v>
                </c:pt>
                <c:pt idx="10">
                  <c:v>2020年3季度</c:v>
                </c:pt>
                <c:pt idx="11">
                  <c:v>2020年4季度</c:v>
                </c:pt>
                <c:pt idx="12">
                  <c:v>2021年1季度</c:v>
                </c:pt>
                <c:pt idx="13">
                  <c:v>2021年2季度</c:v>
                </c:pt>
                <c:pt idx="14">
                  <c:v>2021年3季度</c:v>
                </c:pt>
                <c:pt idx="15">
                  <c:v>2021年4季度</c:v>
                </c:pt>
                <c:pt idx="16">
                  <c:v>2022年1季度</c:v>
                </c:pt>
                <c:pt idx="17">
                  <c:v>2022年2季度</c:v>
                </c:pt>
                <c:pt idx="18">
                  <c:v>2022年3季度</c:v>
                </c:pt>
                <c:pt idx="19">
                  <c:v>2022年4季度</c:v>
                </c:pt>
                <c:pt idx="20">
                  <c:v>2023年1季度</c:v>
                </c:pt>
                <c:pt idx="21">
                  <c:v>2023年2季度</c:v>
                </c:pt>
                <c:pt idx="22">
                  <c:v>2023年3季度</c:v>
                </c:pt>
                <c:pt idx="23">
                  <c:v>2023年4季度</c:v>
                </c:pt>
                <c:pt idx="24">
                  <c:v>2024年1季度</c:v>
                </c:pt>
                <c:pt idx="25">
                  <c:v>2024年2季度</c:v>
                </c:pt>
              </c:strCache>
            </c:strRef>
          </c:cat>
          <c:val>
            <c:numRef>
              <c:f>Sheet1!$D$2:$D$27</c:f>
              <c:numCache>
                <c:formatCode>_ * #,##0.00_ ;_ * \-#,##0.00_ ;_ * "-"??_ ;_ @_ </c:formatCode>
                <c:ptCount val="26"/>
                <c:pt idx="0">
                  <c:v>0.377256788124454</c:v>
                </c:pt>
                <c:pt idx="1">
                  <c:v>0.325390448899428</c:v>
                </c:pt>
                <c:pt idx="2">
                  <c:v>0.530115657170676</c:v>
                </c:pt>
                <c:pt idx="3">
                  <c:v>0.161685841171057</c:v>
                </c:pt>
                <c:pt idx="4">
                  <c:v>0.329238452691222</c:v>
                </c:pt>
                <c:pt idx="5">
                  <c:v>0.367873833448085</c:v>
                </c:pt>
                <c:pt idx="6">
                  <c:v>-0.242605566848927</c:v>
                </c:pt>
                <c:pt idx="7">
                  <c:v>0.282376219304414</c:v>
                </c:pt>
                <c:pt idx="8">
                  <c:v>2.60746558662359</c:v>
                </c:pt>
                <c:pt idx="9">
                  <c:v>0.0675741106592255</c:v>
                </c:pt>
                <c:pt idx="10">
                  <c:v>0.394013600612171</c:v>
                </c:pt>
                <c:pt idx="11">
                  <c:v>-0.384875781253846</c:v>
                </c:pt>
                <c:pt idx="12">
                  <c:v>1.23980700771743</c:v>
                </c:pt>
                <c:pt idx="13">
                  <c:v>0.970208346715809</c:v>
                </c:pt>
                <c:pt idx="14">
                  <c:v>1.13814442286534</c:v>
                </c:pt>
                <c:pt idx="15">
                  <c:v>1.34881642409321</c:v>
                </c:pt>
                <c:pt idx="16">
                  <c:v>0.277814742085365</c:v>
                </c:pt>
                <c:pt idx="17">
                  <c:v>1.46497905570941</c:v>
                </c:pt>
                <c:pt idx="18">
                  <c:v>0.436977998816194</c:v>
                </c:pt>
                <c:pt idx="19">
                  <c:v>-0.3772979563005</c:v>
                </c:pt>
                <c:pt idx="20">
                  <c:v>0.512933863479363</c:v>
                </c:pt>
                <c:pt idx="21">
                  <c:v>1.80592094394007</c:v>
                </c:pt>
                <c:pt idx="23">
                  <c:v>2.03655325342422</c:v>
                </c:pt>
                <c:pt idx="24">
                  <c:v>1.68766239293795</c:v>
                </c:pt>
                <c:pt idx="25">
                  <c:v>0.599504318652993</c:v>
                </c:pt>
              </c:numCache>
            </c:numRef>
          </c:val>
        </c:ser>
        <c:dLbls>
          <c:showLegendKey val="0"/>
          <c:showVal val="0"/>
          <c:showCatName val="0"/>
          <c:showSerName val="0"/>
          <c:showPercent val="0"/>
          <c:showBubbleSize val="0"/>
        </c:dLbls>
        <c:gapWidth val="150"/>
        <c:overlap val="0"/>
        <c:axId val="136943012"/>
        <c:axId val="305642024"/>
      </c:barChart>
      <c:lineChart>
        <c:grouping val="standard"/>
        <c:varyColors val="0"/>
        <c:ser>
          <c:idx val="0"/>
          <c:order val="0"/>
          <c:tx>
            <c:strRef>
              <c:f>Sheet1!$B$1</c:f>
              <c:strCache>
                <c:ptCount val="1"/>
                <c:pt idx="0">
                  <c:v>售电量同比</c:v>
                </c:pt>
              </c:strCache>
            </c:strRef>
          </c:tx>
          <c:spPr>
            <a:ln w="25400" cap="rnd">
              <a:solidFill>
                <a:schemeClr val="accent2"/>
              </a:solidFill>
              <a:round/>
            </a:ln>
            <a:effectLst/>
            <a:sp3d contourW="25400"/>
          </c:spPr>
          <c:marker>
            <c:symbol val="none"/>
          </c:marker>
          <c:dLbls>
            <c:delete val="1"/>
          </c:dLbls>
          <c:cat>
            <c:strRef>
              <c:f>Sheet1!$A$2:$A$27</c:f>
              <c:strCache>
                <c:ptCount val="26"/>
                <c:pt idx="0">
                  <c:v>2018年1季度</c:v>
                </c:pt>
                <c:pt idx="1">
                  <c:v>2018年2季度</c:v>
                </c:pt>
                <c:pt idx="2">
                  <c:v>2018年3季度</c:v>
                </c:pt>
                <c:pt idx="3">
                  <c:v>2018年4季度</c:v>
                </c:pt>
                <c:pt idx="4">
                  <c:v>2019年1季度</c:v>
                </c:pt>
                <c:pt idx="5">
                  <c:v>2019年2季度</c:v>
                </c:pt>
                <c:pt idx="6">
                  <c:v>2019年3季度</c:v>
                </c:pt>
                <c:pt idx="7">
                  <c:v>2019年4季度</c:v>
                </c:pt>
                <c:pt idx="8">
                  <c:v>2020年1季度</c:v>
                </c:pt>
                <c:pt idx="9">
                  <c:v>2020年2季度</c:v>
                </c:pt>
                <c:pt idx="10">
                  <c:v>2020年3季度</c:v>
                </c:pt>
                <c:pt idx="11">
                  <c:v>2020年4季度</c:v>
                </c:pt>
                <c:pt idx="12">
                  <c:v>2021年1季度</c:v>
                </c:pt>
                <c:pt idx="13">
                  <c:v>2021年2季度</c:v>
                </c:pt>
                <c:pt idx="14">
                  <c:v>2021年3季度</c:v>
                </c:pt>
                <c:pt idx="15">
                  <c:v>2021年4季度</c:v>
                </c:pt>
                <c:pt idx="16">
                  <c:v>2022年1季度</c:v>
                </c:pt>
                <c:pt idx="17">
                  <c:v>2022年2季度</c:v>
                </c:pt>
                <c:pt idx="18">
                  <c:v>2022年3季度</c:v>
                </c:pt>
                <c:pt idx="19">
                  <c:v>2022年4季度</c:v>
                </c:pt>
                <c:pt idx="20">
                  <c:v>2023年1季度</c:v>
                </c:pt>
                <c:pt idx="21">
                  <c:v>2023年2季度</c:v>
                </c:pt>
                <c:pt idx="22">
                  <c:v>2023年3季度</c:v>
                </c:pt>
                <c:pt idx="23">
                  <c:v>2023年4季度</c:v>
                </c:pt>
                <c:pt idx="24">
                  <c:v>2024年1季度</c:v>
                </c:pt>
                <c:pt idx="25">
                  <c:v>2024年2季度</c:v>
                </c:pt>
              </c:strCache>
            </c:strRef>
          </c:cat>
          <c:val>
            <c:numRef>
              <c:f>Sheet1!$B$2:$B$27</c:f>
              <c:numCache>
                <c:formatCode>0.00%</c:formatCode>
                <c:ptCount val="26"/>
                <c:pt idx="0">
                  <c:v>0.0512553582977993</c:v>
                </c:pt>
                <c:pt idx="1">
                  <c:v>0.0330256588901479</c:v>
                </c:pt>
                <c:pt idx="2">
                  <c:v>0.0267906470890489</c:v>
                </c:pt>
                <c:pt idx="3">
                  <c:v>0.0598943522994733</c:v>
                </c:pt>
                <c:pt idx="4">
                  <c:v>0.0186270064899752</c:v>
                </c:pt>
                <c:pt idx="5">
                  <c:v>0.0194537238465655</c:v>
                </c:pt>
                <c:pt idx="6">
                  <c:v>-0.025544680765103</c:v>
                </c:pt>
                <c:pt idx="7">
                  <c:v>0.0100331066134023</c:v>
                </c:pt>
                <c:pt idx="8">
                  <c:v>-0.141748702120585</c:v>
                </c:pt>
                <c:pt idx="9">
                  <c:v>0.0116647384905242</c:v>
                </c:pt>
                <c:pt idx="10">
                  <c:v>0.0437504818379151</c:v>
                </c:pt>
                <c:pt idx="11">
                  <c:v>0.0419806676045855</c:v>
                </c:pt>
                <c:pt idx="12">
                  <c:v>0.252840073727019</c:v>
                </c:pt>
                <c:pt idx="13">
                  <c:v>0.116779212855552</c:v>
                </c:pt>
                <c:pt idx="14">
                  <c:v>0.0937288944475612</c:v>
                </c:pt>
                <c:pt idx="15">
                  <c:v>0.112359656691681</c:v>
                </c:pt>
                <c:pt idx="16">
                  <c:v>0.0161947920403145</c:v>
                </c:pt>
                <c:pt idx="17">
                  <c:v>-0.179564598100942</c:v>
                </c:pt>
                <c:pt idx="18">
                  <c:v>0.0342276834248607</c:v>
                </c:pt>
                <c:pt idx="19">
                  <c:v>-0.0411891821614758</c:v>
                </c:pt>
                <c:pt idx="20">
                  <c:v>0.026951157481006</c:v>
                </c:pt>
                <c:pt idx="21">
                  <c:v>0.292938644656462</c:v>
                </c:pt>
                <c:pt idx="22">
                  <c:v>0.0523114399218121</c:v>
                </c:pt>
                <c:pt idx="23">
                  <c:v>0.0748353750056288</c:v>
                </c:pt>
                <c:pt idx="24">
                  <c:v>0.0900580382533234</c:v>
                </c:pt>
                <c:pt idx="25">
                  <c:v>0.0217168042977887</c:v>
                </c:pt>
              </c:numCache>
            </c:numRef>
          </c:val>
          <c:smooth val="1"/>
        </c:ser>
        <c:ser>
          <c:idx val="2"/>
          <c:order val="1"/>
          <c:tx>
            <c:strRef>
              <c:f>Sheet1!$C$1</c:f>
              <c:strCache>
                <c:ptCount val="1"/>
                <c:pt idx="0">
                  <c:v>GDP同比</c:v>
                </c:pt>
              </c:strCache>
            </c:strRef>
          </c:tx>
          <c:spPr>
            <a:ln w="25400" cap="rnd" cmpd="sng">
              <a:solidFill>
                <a:schemeClr val="accent1"/>
              </a:solidFill>
              <a:prstDash val="solid"/>
              <a:round/>
            </a:ln>
            <a:effectLst/>
            <a:sp3d contourW="25400"/>
          </c:spPr>
          <c:marker>
            <c:symbol val="none"/>
          </c:marker>
          <c:dLbls>
            <c:delete val="1"/>
          </c:dLbls>
          <c:cat>
            <c:strRef>
              <c:f>Sheet1!$A$2:$A$27</c:f>
              <c:strCache>
                <c:ptCount val="26"/>
                <c:pt idx="0">
                  <c:v>2018年1季度</c:v>
                </c:pt>
                <c:pt idx="1">
                  <c:v>2018年2季度</c:v>
                </c:pt>
                <c:pt idx="2">
                  <c:v>2018年3季度</c:v>
                </c:pt>
                <c:pt idx="3">
                  <c:v>2018年4季度</c:v>
                </c:pt>
                <c:pt idx="4">
                  <c:v>2019年1季度</c:v>
                </c:pt>
                <c:pt idx="5">
                  <c:v>2019年2季度</c:v>
                </c:pt>
                <c:pt idx="6">
                  <c:v>2019年3季度</c:v>
                </c:pt>
                <c:pt idx="7">
                  <c:v>2019年4季度</c:v>
                </c:pt>
                <c:pt idx="8">
                  <c:v>2020年1季度</c:v>
                </c:pt>
                <c:pt idx="9">
                  <c:v>2020年2季度</c:v>
                </c:pt>
                <c:pt idx="10">
                  <c:v>2020年3季度</c:v>
                </c:pt>
                <c:pt idx="11">
                  <c:v>2020年4季度</c:v>
                </c:pt>
                <c:pt idx="12">
                  <c:v>2021年1季度</c:v>
                </c:pt>
                <c:pt idx="13">
                  <c:v>2021年2季度</c:v>
                </c:pt>
                <c:pt idx="14">
                  <c:v>2021年3季度</c:v>
                </c:pt>
                <c:pt idx="15">
                  <c:v>2021年4季度</c:v>
                </c:pt>
                <c:pt idx="16">
                  <c:v>2022年1季度</c:v>
                </c:pt>
                <c:pt idx="17">
                  <c:v>2022年2季度</c:v>
                </c:pt>
                <c:pt idx="18">
                  <c:v>2022年3季度</c:v>
                </c:pt>
                <c:pt idx="19">
                  <c:v>2022年4季度</c:v>
                </c:pt>
                <c:pt idx="20">
                  <c:v>2023年1季度</c:v>
                </c:pt>
                <c:pt idx="21">
                  <c:v>2023年2季度</c:v>
                </c:pt>
                <c:pt idx="22">
                  <c:v>2023年3季度</c:v>
                </c:pt>
                <c:pt idx="23">
                  <c:v>2023年4季度</c:v>
                </c:pt>
                <c:pt idx="24">
                  <c:v>2024年1季度</c:v>
                </c:pt>
                <c:pt idx="25">
                  <c:v>2024年2季度</c:v>
                </c:pt>
              </c:strCache>
            </c:strRef>
          </c:cat>
          <c:val>
            <c:numRef>
              <c:f>Sheet1!$C$2:$C$27</c:f>
              <c:numCache>
                <c:formatCode>0.00%</c:formatCode>
                <c:ptCount val="26"/>
                <c:pt idx="0">
                  <c:v>0.135863316211266</c:v>
                </c:pt>
                <c:pt idx="1">
                  <c:v>0.101495477208538</c:v>
                </c:pt>
                <c:pt idx="2">
                  <c:v>0.050537362416412</c:v>
                </c:pt>
                <c:pt idx="3">
                  <c:v>0.37043659398789</c:v>
                </c:pt>
                <c:pt idx="4">
                  <c:v>0.0565760358114811</c:v>
                </c:pt>
                <c:pt idx="5">
                  <c:v>0.0528815101205367</c:v>
                </c:pt>
                <c:pt idx="6">
                  <c:v>0.105293052821867</c:v>
                </c:pt>
                <c:pt idx="7">
                  <c:v>0.035530989961255</c:v>
                </c:pt>
                <c:pt idx="8">
                  <c:v>-0.0543626358283544</c:v>
                </c:pt>
                <c:pt idx="9">
                  <c:v>0.172621413389355</c:v>
                </c:pt>
                <c:pt idx="10">
                  <c:v>0.111037999119677</c:v>
                </c:pt>
                <c:pt idx="11">
                  <c:v>-0.109075887986044</c:v>
                </c:pt>
                <c:pt idx="12">
                  <c:v>0.203935025494424</c:v>
                </c:pt>
                <c:pt idx="13">
                  <c:v>0.120365087819389</c:v>
                </c:pt>
                <c:pt idx="14">
                  <c:v>0.0823523733583773</c:v>
                </c:pt>
                <c:pt idx="15">
                  <c:v>0.0833024084557827</c:v>
                </c:pt>
                <c:pt idx="16">
                  <c:v>0.0582934941420001</c:v>
                </c:pt>
                <c:pt idx="17">
                  <c:v>-0.122571443872273</c:v>
                </c:pt>
                <c:pt idx="18">
                  <c:v>0.0783281618699021</c:v>
                </c:pt>
                <c:pt idx="19">
                  <c:v>0.10916884513594</c:v>
                </c:pt>
                <c:pt idx="20">
                  <c:v>0.0525431432781398</c:v>
                </c:pt>
                <c:pt idx="21">
                  <c:v>0.16221011536493</c:v>
                </c:pt>
                <c:pt idx="22">
                  <c:v>0.00187122975634368</c:v>
                </c:pt>
                <c:pt idx="23">
                  <c:v>0.036746092880116</c:v>
                </c:pt>
                <c:pt idx="24">
                  <c:v>0.0533625911379982</c:v>
                </c:pt>
                <c:pt idx="25">
                  <c:v>0.0362246002607345</c:v>
                </c:pt>
              </c:numCache>
            </c:numRef>
          </c:val>
          <c:smooth val="1"/>
        </c:ser>
        <c:dLbls>
          <c:showLegendKey val="0"/>
          <c:showVal val="0"/>
          <c:showCatName val="0"/>
          <c:showSerName val="0"/>
          <c:showPercent val="0"/>
          <c:showBubbleSize val="0"/>
        </c:dLbls>
        <c:marker val="0"/>
        <c:smooth val="1"/>
        <c:axId val="240771944"/>
        <c:axId val="169176893"/>
      </c:lineChart>
      <c:catAx>
        <c:axId val="240771944"/>
        <c:scaling>
          <c:orientation val="minMax"/>
        </c:scaling>
        <c:delete val="0"/>
        <c:axPos val="b"/>
        <c:majorTickMark val="out"/>
        <c:minorTickMark val="out"/>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69176893"/>
        <c:crosses val="autoZero"/>
        <c:auto val="1"/>
        <c:lblAlgn val="ctr"/>
        <c:lblOffset val="100"/>
        <c:noMultiLvlLbl val="0"/>
      </c:catAx>
      <c:valAx>
        <c:axId val="169176893"/>
        <c:scaling>
          <c:orientation val="minMax"/>
        </c:scaling>
        <c:delete val="0"/>
        <c:axPos val="l"/>
        <c:majorGridlines>
          <c:spPr>
            <a:ln w="9525" cap="flat" cmpd="sng" algn="ctr">
              <a:solidFill>
                <a:schemeClr val="lt1">
                  <a:lumMod val="90200"/>
                </a:schemeClr>
              </a:solidFill>
              <a:round/>
            </a:ln>
            <a:effectLst/>
          </c:spPr>
        </c:majorGridlines>
        <c:numFmt formatCode="0%" sourceLinked="0"/>
        <c:majorTickMark val="none"/>
        <c:minorTickMark val="cross"/>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240771944"/>
        <c:crosses val="autoZero"/>
        <c:crossBetween val="between"/>
        <c:majorUnit val="0.2"/>
      </c:valAx>
      <c:catAx>
        <c:axId val="136943012"/>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305642024"/>
        <c:crosses val="autoZero"/>
        <c:auto val="1"/>
        <c:lblAlgn val="ctr"/>
        <c:lblOffset val="100"/>
        <c:noMultiLvlLbl val="0"/>
      </c:catAx>
      <c:valAx>
        <c:axId val="305642024"/>
        <c:scaling>
          <c:orientation val="minMax"/>
          <c:min val="-1"/>
        </c:scaling>
        <c:delete val="0"/>
        <c:axPos val="r"/>
        <c:numFmt formatCode="General"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36943012"/>
        <c:crosses val="max"/>
        <c:crossBetween val="between"/>
        <c:majorUnit val="1"/>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2"/>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manualLayout>
          <c:xMode val="edge"/>
          <c:yMode val="edge"/>
          <c:x val="0.00362406378352259"/>
          <c:y val="0.88502994011976"/>
          <c:w val="0.992751872432955"/>
          <c:h val="0.10598802395209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b="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62454699202706"/>
          <c:y val="0.0437125748502994"/>
          <c:w val="0.940130466296207"/>
          <c:h val="0.634550898203593"/>
        </c:manualLayout>
      </c:layout>
      <c:barChart>
        <c:barDir val="col"/>
        <c:grouping val="clustered"/>
        <c:varyColors val="0"/>
        <c:dLbls>
          <c:showLegendKey val="0"/>
          <c:showVal val="0"/>
          <c:showCatName val="0"/>
          <c:showSerName val="0"/>
          <c:showPercent val="0"/>
          <c:showBubbleSize val="0"/>
        </c:dLbls>
        <c:gapWidth val="150"/>
        <c:overlap val="0"/>
        <c:axId val="240771944"/>
        <c:axId val="169176893"/>
      </c:barChart>
      <c:lineChart>
        <c:grouping val="standard"/>
        <c:varyColors val="0"/>
        <c:ser>
          <c:idx val="0"/>
          <c:order val="0"/>
          <c:tx>
            <c:strRef>
              <c:f>Sheet1!$B$1</c:f>
              <c:strCache>
                <c:ptCount val="1"/>
                <c:pt idx="0">
                  <c:v>二产GDP占比</c:v>
                </c:pt>
              </c:strCache>
            </c:strRef>
          </c:tx>
          <c:spPr>
            <a:ln w="25400" cap="rnd">
              <a:solidFill>
                <a:schemeClr val="accent1"/>
              </a:solidFill>
              <a:round/>
            </a:ln>
            <a:effectLst/>
            <a:sp3d contourW="25400"/>
          </c:spPr>
          <c:marker>
            <c:symbol val="circle"/>
            <c:size val="4"/>
            <c:spPr>
              <a:solidFill>
                <a:schemeClr val="accent1"/>
              </a:solidFill>
              <a:ln w="9525">
                <a:solidFill>
                  <a:schemeClr val="accent1"/>
                </a:solidFill>
              </a:ln>
              <a:effectLst/>
            </c:spPr>
          </c:marker>
          <c:dLbls>
            <c:delete val="1"/>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Sheet1!$B$2:$B$11</c:f>
              <c:numCache>
                <c:formatCode>0.00%</c:formatCode>
                <c:ptCount val="10"/>
                <c:pt idx="0">
                  <c:v>0.3218742765747</c:v>
                </c:pt>
                <c:pt idx="1">
                  <c:v>0.298269449050172</c:v>
                </c:pt>
                <c:pt idx="2">
                  <c:v>0.304595470438896</c:v>
                </c:pt>
                <c:pt idx="3">
                  <c:v>0.287704981308915</c:v>
                </c:pt>
                <c:pt idx="4">
                  <c:v>0.269927234262483</c:v>
                </c:pt>
                <c:pt idx="5">
                  <c:v>0.265873793105943</c:v>
                </c:pt>
                <c:pt idx="6">
                  <c:v>0.264939482608409</c:v>
                </c:pt>
                <c:pt idx="7">
                  <c:v>0.256611679446754</c:v>
                </c:pt>
                <c:pt idx="8">
                  <c:v>0.245940270223679</c:v>
                </c:pt>
                <c:pt idx="9">
                  <c:v>0.229682903874993</c:v>
                </c:pt>
              </c:numCache>
            </c:numRef>
          </c:val>
          <c:smooth val="1"/>
        </c:ser>
        <c:ser>
          <c:idx val="1"/>
          <c:order val="1"/>
          <c:tx>
            <c:strRef>
              <c:f>Sheet1!$C$1</c:f>
              <c:strCache>
                <c:ptCount val="1"/>
                <c:pt idx="0">
                  <c:v>三产GDP占比</c:v>
                </c:pt>
              </c:strCache>
            </c:strRef>
          </c:tx>
          <c:spPr>
            <a:ln w="25400" cap="rnd">
              <a:solidFill>
                <a:schemeClr val="accent2"/>
              </a:solidFill>
              <a:round/>
            </a:ln>
            <a:effectLst/>
            <a:sp3d contourW="25400"/>
          </c:spPr>
          <c:marker>
            <c:symbol val="circle"/>
            <c:size val="4"/>
            <c:spPr>
              <a:solidFill>
                <a:schemeClr val="accent2"/>
              </a:solidFill>
              <a:ln w="9525">
                <a:solidFill>
                  <a:schemeClr val="accent2"/>
                </a:solidFill>
              </a:ln>
              <a:effectLst/>
            </c:spPr>
          </c:marker>
          <c:dLbls>
            <c:delete val="1"/>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Sheet1!$C$2:$C$11</c:f>
              <c:numCache>
                <c:formatCode>0.00%</c:formatCode>
                <c:ptCount val="10"/>
                <c:pt idx="0">
                  <c:v>0.673233517205148</c:v>
                </c:pt>
                <c:pt idx="1">
                  <c:v>0.697673568693183</c:v>
                </c:pt>
                <c:pt idx="2">
                  <c:v>0.691788166940282</c:v>
                </c:pt>
                <c:pt idx="3">
                  <c:v>0.709385418454274</c:v>
                </c:pt>
                <c:pt idx="4">
                  <c:v>0.727350209616903</c:v>
                </c:pt>
                <c:pt idx="5">
                  <c:v>0.731450019612109</c:v>
                </c:pt>
                <c:pt idx="6">
                  <c:v>0.732747192226746</c:v>
                </c:pt>
                <c:pt idx="7">
                  <c:v>0.741217124122115</c:v>
                </c:pt>
                <c:pt idx="8">
                  <c:v>0.752024729206631</c:v>
                </c:pt>
                <c:pt idx="9">
                  <c:v>0.768588343382296</c:v>
                </c:pt>
              </c:numCache>
            </c:numRef>
          </c:val>
          <c:smooth val="1"/>
        </c:ser>
        <c:ser>
          <c:idx val="2"/>
          <c:order val="2"/>
          <c:tx>
            <c:strRef>
              <c:f>Sheet1!$D$1</c:f>
              <c:strCache>
                <c:ptCount val="1"/>
                <c:pt idx="0">
                  <c:v>二产售电量占比</c:v>
                </c:pt>
              </c:strCache>
            </c:strRef>
          </c:tx>
          <c:spPr>
            <a:ln w="25400" cap="rnd" cmpd="sng">
              <a:solidFill>
                <a:schemeClr val="accent1"/>
              </a:solidFill>
              <a:prstDash val="sysDot"/>
              <a:round/>
            </a:ln>
            <a:effectLst/>
            <a:sp3d contourW="25400"/>
          </c:spPr>
          <c:marker>
            <c:symbol val="triangle"/>
            <c:size val="4"/>
            <c:spPr>
              <a:solidFill>
                <a:schemeClr val="accent1"/>
              </a:solidFill>
              <a:ln w="9525">
                <a:noFill/>
              </a:ln>
              <a:effectLst/>
            </c:spPr>
          </c:marker>
          <c:dLbls>
            <c:delete val="1"/>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Sheet1!$D$2:$D$11</c:f>
              <c:numCache>
                <c:formatCode>0.00%</c:formatCode>
                <c:ptCount val="10"/>
                <c:pt idx="0">
                  <c:v>0.5655</c:v>
                </c:pt>
                <c:pt idx="1">
                  <c:v>0.5488</c:v>
                </c:pt>
                <c:pt idx="2">
                  <c:v>0.5329</c:v>
                </c:pt>
                <c:pt idx="3">
                  <c:v>0.5078</c:v>
                </c:pt>
                <c:pt idx="4">
                  <c:v>0.5014</c:v>
                </c:pt>
                <c:pt idx="5">
                  <c:v>0.5227</c:v>
                </c:pt>
                <c:pt idx="6">
                  <c:v>0.5055</c:v>
                </c:pt>
                <c:pt idx="7">
                  <c:v>0.5059</c:v>
                </c:pt>
                <c:pt idx="8">
                  <c:v>0.4841</c:v>
                </c:pt>
                <c:pt idx="9">
                  <c:v>0.4809</c:v>
                </c:pt>
              </c:numCache>
            </c:numRef>
          </c:val>
          <c:smooth val="1"/>
        </c:ser>
        <c:ser>
          <c:idx val="3"/>
          <c:order val="3"/>
          <c:tx>
            <c:strRef>
              <c:f>Sheet1!$E$1</c:f>
              <c:strCache>
                <c:ptCount val="1"/>
                <c:pt idx="0">
                  <c:v>三产售电量占比</c:v>
                </c:pt>
              </c:strCache>
            </c:strRef>
          </c:tx>
          <c:spPr>
            <a:ln w="25400" cap="rnd" cmpd="sng">
              <a:solidFill>
                <a:schemeClr val="accent2"/>
              </a:solidFill>
              <a:prstDash val="sysDot"/>
              <a:round/>
            </a:ln>
            <a:effectLst/>
            <a:sp3d contourW="25400"/>
          </c:spPr>
          <c:marker>
            <c:symbol val="triangle"/>
            <c:size val="4"/>
            <c:spPr>
              <a:solidFill>
                <a:schemeClr val="accent2"/>
              </a:solidFill>
              <a:ln w="9525">
                <a:noFill/>
              </a:ln>
              <a:effectLst/>
            </c:spPr>
          </c:marker>
          <c:dLbls>
            <c:delete val="1"/>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Sheet1!$E$2:$E$11</c:f>
              <c:numCache>
                <c:formatCode>0.00%</c:formatCode>
                <c:ptCount val="10"/>
                <c:pt idx="0">
                  <c:v>0.4269</c:v>
                </c:pt>
                <c:pt idx="1">
                  <c:v>0.4438</c:v>
                </c:pt>
                <c:pt idx="2">
                  <c:v>0.4617</c:v>
                </c:pt>
                <c:pt idx="3">
                  <c:v>0.4873</c:v>
                </c:pt>
                <c:pt idx="4">
                  <c:v>0.4957</c:v>
                </c:pt>
                <c:pt idx="5">
                  <c:v>0.4883</c:v>
                </c:pt>
                <c:pt idx="6">
                  <c:v>0.49</c:v>
                </c:pt>
                <c:pt idx="7">
                  <c:v>0.4888</c:v>
                </c:pt>
                <c:pt idx="8">
                  <c:v>0.5109</c:v>
                </c:pt>
                <c:pt idx="9">
                  <c:v>0.5145</c:v>
                </c:pt>
              </c:numCache>
            </c:numRef>
          </c:val>
          <c:smooth val="1"/>
        </c:ser>
        <c:dLbls>
          <c:showLegendKey val="0"/>
          <c:showVal val="0"/>
          <c:showCatName val="0"/>
          <c:showSerName val="0"/>
          <c:showPercent val="0"/>
          <c:showBubbleSize val="0"/>
        </c:dLbls>
        <c:marker val="1"/>
        <c:smooth val="1"/>
        <c:axId val="240771944"/>
        <c:axId val="169176893"/>
      </c:lineChart>
      <c:catAx>
        <c:axId val="240771944"/>
        <c:scaling>
          <c:orientation val="minMax"/>
        </c:scaling>
        <c:delete val="0"/>
        <c:axPos val="b"/>
        <c:majorTickMark val="out"/>
        <c:minorTickMark val="out"/>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69176893"/>
        <c:crosses val="autoZero"/>
        <c:auto val="1"/>
        <c:lblAlgn val="ctr"/>
        <c:lblOffset val="100"/>
        <c:noMultiLvlLbl val="0"/>
      </c:catAx>
      <c:valAx>
        <c:axId val="169176893"/>
        <c:scaling>
          <c:orientation val="minMax"/>
          <c:max val="0.8"/>
          <c:min val="0.2"/>
        </c:scaling>
        <c:delete val="0"/>
        <c:axPos val="l"/>
        <c:majorGridlines>
          <c:spPr>
            <a:ln w="9525" cap="flat" cmpd="sng" algn="ctr">
              <a:solidFill>
                <a:schemeClr val="lt1">
                  <a:lumMod val="90200"/>
                </a:schemeClr>
              </a:solidFill>
              <a:round/>
            </a:ln>
            <a:effectLst/>
          </c:spPr>
        </c:majorGridlines>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240771944"/>
        <c:crosses val="autoZero"/>
        <c:crossBetween val="between"/>
        <c:majorUnit val="0.2"/>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2"/>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3"/>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62454699202706"/>
          <c:y val="0.0572324578596629"/>
          <c:w val="0.93952645566562"/>
          <c:h val="0.653712574850299"/>
        </c:manualLayout>
      </c:layout>
      <c:lineChart>
        <c:grouping val="standard"/>
        <c:varyColors val="0"/>
        <c:ser>
          <c:idx val="0"/>
          <c:order val="0"/>
          <c:tx>
            <c:strRef>
              <c:f>Sheet1!$B$1</c:f>
              <c:strCache>
                <c:ptCount val="1"/>
                <c:pt idx="0">
                  <c:v>GDP增长率</c:v>
                </c:pt>
              </c:strCache>
            </c:strRef>
          </c:tx>
          <c:spPr>
            <a:ln w="25400" cap="rnd">
              <a:solidFill>
                <a:schemeClr val="bg1">
                  <a:lumMod val="50000"/>
                </a:schemeClr>
              </a:solidFill>
              <a:round/>
            </a:ln>
            <a:effectLst/>
            <a:sp3d contourW="25400"/>
          </c:spPr>
          <c:marker>
            <c:symbol val="circle"/>
            <c:size val="4"/>
            <c:spPr>
              <a:solidFill>
                <a:schemeClr val="bg1">
                  <a:lumMod val="50000"/>
                </a:schemeClr>
              </a:solidFill>
              <a:ln w="9525">
                <a:noFill/>
              </a:ln>
              <a:effectLst/>
            </c:spPr>
          </c:marker>
          <c:dLbls>
            <c:delete val="1"/>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Sheet1!$B$2:$B$11</c:f>
              <c:numCache>
                <c:formatCode>0.00%</c:formatCode>
                <c:ptCount val="10"/>
                <c:pt idx="0">
                  <c:v>0.069</c:v>
                </c:pt>
                <c:pt idx="1">
                  <c:v>0.068</c:v>
                </c:pt>
                <c:pt idx="2">
                  <c:v>0.069</c:v>
                </c:pt>
                <c:pt idx="3">
                  <c:v>0.066</c:v>
                </c:pt>
                <c:pt idx="4">
                  <c:v>0.06</c:v>
                </c:pt>
                <c:pt idx="5">
                  <c:v>0.017</c:v>
                </c:pt>
                <c:pt idx="6">
                  <c:v>0.081</c:v>
                </c:pt>
                <c:pt idx="7">
                  <c:v>-0.002</c:v>
                </c:pt>
                <c:pt idx="8">
                  <c:v>0.05</c:v>
                </c:pt>
                <c:pt idx="9">
                  <c:v>0.048</c:v>
                </c:pt>
              </c:numCache>
            </c:numRef>
          </c:val>
          <c:smooth val="1"/>
        </c:ser>
        <c:ser>
          <c:idx val="2"/>
          <c:order val="1"/>
          <c:tx>
            <c:strRef>
              <c:f>Sheet1!$C$1</c:f>
              <c:strCache>
                <c:ptCount val="1"/>
                <c:pt idx="0">
                  <c:v>二产GDP增长率</c:v>
                </c:pt>
              </c:strCache>
            </c:strRef>
          </c:tx>
          <c:spPr>
            <a:ln w="25400" cap="rnd" cmpd="sng">
              <a:solidFill>
                <a:schemeClr val="accent2"/>
              </a:solidFill>
              <a:prstDash val="solid"/>
              <a:round/>
            </a:ln>
            <a:effectLst/>
            <a:sp3d contourW="25400"/>
          </c:spPr>
          <c:marker>
            <c:symbol val="circle"/>
            <c:size val="4"/>
            <c:spPr>
              <a:solidFill>
                <a:schemeClr val="accent2"/>
              </a:solidFill>
              <a:ln w="9525">
                <a:noFill/>
              </a:ln>
              <a:effectLst/>
            </c:spPr>
          </c:marker>
          <c:dLbls>
            <c:delete val="1"/>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Sheet1!$C$2:$C$11</c:f>
              <c:numCache>
                <c:formatCode>0.00%</c:formatCode>
                <c:ptCount val="10"/>
                <c:pt idx="0">
                  <c:v>0.012</c:v>
                </c:pt>
                <c:pt idx="1">
                  <c:v>0.012</c:v>
                </c:pt>
                <c:pt idx="2">
                  <c:v>0.058</c:v>
                </c:pt>
                <c:pt idx="3">
                  <c:v>0.018</c:v>
                </c:pt>
                <c:pt idx="4">
                  <c:v>0.005</c:v>
                </c:pt>
                <c:pt idx="5">
                  <c:v>0.013</c:v>
                </c:pt>
                <c:pt idx="6">
                  <c:v>0.094</c:v>
                </c:pt>
                <c:pt idx="7">
                  <c:v>-0.016</c:v>
                </c:pt>
                <c:pt idx="8">
                  <c:v>0.019</c:v>
                </c:pt>
                <c:pt idx="9">
                  <c:v>0.012</c:v>
                </c:pt>
              </c:numCache>
            </c:numRef>
          </c:val>
          <c:smooth val="1"/>
        </c:ser>
        <c:ser>
          <c:idx val="1"/>
          <c:order val="2"/>
          <c:tx>
            <c:strRef>
              <c:f>Sheet1!$D$1</c:f>
              <c:strCache>
                <c:ptCount val="1"/>
                <c:pt idx="0">
                  <c:v>三产GDP增长率</c:v>
                </c:pt>
              </c:strCache>
            </c:strRef>
          </c:tx>
          <c:spPr>
            <a:ln w="25400" cap="rnd">
              <a:solidFill>
                <a:schemeClr val="accent1"/>
              </a:solidFill>
              <a:round/>
            </a:ln>
            <a:effectLst/>
            <a:sp3d contourW="25400"/>
          </c:spPr>
          <c:marker>
            <c:symbol val="circle"/>
            <c:size val="4"/>
            <c:spPr>
              <a:solidFill>
                <a:schemeClr val="accent1"/>
              </a:solidFill>
              <a:ln w="9525">
                <a:noFill/>
              </a:ln>
              <a:effectLst/>
            </c:spPr>
          </c:marker>
          <c:dLbls>
            <c:delete val="1"/>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Sheet1!$D$2:$D$11</c:f>
              <c:numCache>
                <c:formatCode>0.00%</c:formatCode>
                <c:ptCount val="10"/>
                <c:pt idx="0">
                  <c:v>0.106</c:v>
                </c:pt>
                <c:pt idx="1">
                  <c:v>0.095</c:v>
                </c:pt>
                <c:pt idx="2">
                  <c:v>0.075</c:v>
                </c:pt>
                <c:pt idx="3">
                  <c:v>0.087</c:v>
                </c:pt>
                <c:pt idx="4">
                  <c:v>0.082</c:v>
                </c:pt>
                <c:pt idx="5">
                  <c:v>0.018</c:v>
                </c:pt>
                <c:pt idx="6">
                  <c:v>0.076</c:v>
                </c:pt>
                <c:pt idx="7">
                  <c:v>0.003</c:v>
                </c:pt>
                <c:pt idx="8">
                  <c:v>0.06</c:v>
                </c:pt>
                <c:pt idx="9">
                  <c:v>0.0802</c:v>
                </c:pt>
              </c:numCache>
            </c:numRef>
          </c:val>
          <c:smooth val="1"/>
        </c:ser>
        <c:dLbls>
          <c:showLegendKey val="0"/>
          <c:showVal val="0"/>
          <c:showCatName val="0"/>
          <c:showSerName val="0"/>
          <c:showPercent val="0"/>
          <c:showBubbleSize val="0"/>
        </c:dLbls>
        <c:marker val="1"/>
        <c:smooth val="1"/>
        <c:axId val="240771944"/>
        <c:axId val="169176893"/>
      </c:lineChart>
      <c:catAx>
        <c:axId val="240771944"/>
        <c:scaling>
          <c:orientation val="minMax"/>
        </c:scaling>
        <c:delete val="0"/>
        <c:axPos val="b"/>
        <c:majorTickMark val="out"/>
        <c:minorTickMark val="out"/>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69176893"/>
        <c:crosses val="autoZero"/>
        <c:auto val="1"/>
        <c:lblAlgn val="ctr"/>
        <c:lblOffset val="100"/>
        <c:noMultiLvlLbl val="0"/>
      </c:catAx>
      <c:valAx>
        <c:axId val="169176893"/>
        <c:scaling>
          <c:orientation val="minMax"/>
        </c:scaling>
        <c:delete val="0"/>
        <c:axPos val="l"/>
        <c:majorGridlines>
          <c:spPr>
            <a:ln w="9525" cap="flat" cmpd="sng" algn="ctr">
              <a:solidFill>
                <a:schemeClr val="lt1">
                  <a:lumMod val="90200"/>
                </a:schemeClr>
              </a:solidFill>
              <a:round/>
            </a:ln>
            <a:effectLst/>
          </c:spPr>
        </c:majorGridlines>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240771944"/>
        <c:crosses val="autoZero"/>
        <c:crossBetween val="between"/>
        <c:majorUnit val="0.04"/>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manualLayout>
          <c:xMode val="edge"/>
          <c:yMode val="edge"/>
          <c:x val="0.00362406378352259"/>
          <c:y val="0.86437125748503"/>
          <c:w val="0.992751872432955"/>
          <c:h val="0.12664670658682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61572789772042"/>
          <c:y val="0.0540964327714622"/>
          <c:w val="0.940224339645399"/>
          <c:h val="0.62108976871815"/>
        </c:manualLayout>
      </c:layout>
      <c:lineChart>
        <c:grouping val="standard"/>
        <c:varyColors val="0"/>
        <c:ser>
          <c:idx val="0"/>
          <c:order val="0"/>
          <c:tx>
            <c:strRef>
              <c:f>Sheet1!$B$1</c:f>
              <c:strCache>
                <c:ptCount val="1"/>
                <c:pt idx="0">
                  <c:v>整体电力消费弹性系数</c:v>
                </c:pt>
              </c:strCache>
            </c:strRef>
          </c:tx>
          <c:spPr>
            <a:ln w="25400" cap="rnd">
              <a:solidFill>
                <a:schemeClr val="accent1"/>
              </a:solidFill>
              <a:round/>
            </a:ln>
            <a:effectLst/>
            <a:sp3d contourW="25400"/>
          </c:spPr>
          <c:marker>
            <c:symbol val="circle"/>
            <c:size val="4"/>
            <c:spPr>
              <a:solidFill>
                <a:schemeClr val="accent1"/>
              </a:solidFill>
              <a:ln w="9525">
                <a:solidFill>
                  <a:schemeClr val="accent1"/>
                </a:solidFill>
              </a:ln>
              <a:effectLst/>
            </c:spPr>
          </c:marker>
          <c:dLbls>
            <c:delete val="1"/>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Sheet1!$B$2:$B$11</c:f>
              <c:numCache>
                <c:formatCode>0.00_ </c:formatCode>
                <c:ptCount val="10"/>
                <c:pt idx="0">
                  <c:v>0.594202898550725</c:v>
                </c:pt>
                <c:pt idx="1">
                  <c:v>0.669117647058823</c:v>
                </c:pt>
                <c:pt idx="2">
                  <c:v>0.414492753623188</c:v>
                </c:pt>
                <c:pt idx="3">
                  <c:v>0.521212121212121</c:v>
                </c:pt>
                <c:pt idx="4">
                  <c:v>0.746666666666667</c:v>
                </c:pt>
                <c:pt idx="5">
                  <c:v>-1.94117647058824</c:v>
                </c:pt>
                <c:pt idx="6">
                  <c:v>1.39259259259259</c:v>
                </c:pt>
                <c:pt idx="7">
                  <c:v>5.6</c:v>
                </c:pt>
                <c:pt idx="8">
                  <c:v>1.976</c:v>
                </c:pt>
                <c:pt idx="9">
                  <c:v>1.14583333333333</c:v>
                </c:pt>
              </c:numCache>
            </c:numRef>
          </c:val>
          <c:smooth val="1"/>
        </c:ser>
        <c:ser>
          <c:idx val="1"/>
          <c:order val="1"/>
          <c:tx>
            <c:strRef>
              <c:f>Sheet1!$C$1</c:f>
              <c:strCache>
                <c:ptCount val="1"/>
                <c:pt idx="0">
                  <c:v>二产电力消费弹性系数</c:v>
                </c:pt>
              </c:strCache>
            </c:strRef>
          </c:tx>
          <c:spPr>
            <a:ln w="25400" cap="rnd">
              <a:solidFill>
                <a:schemeClr val="accent2"/>
              </a:solidFill>
              <a:round/>
            </a:ln>
            <a:effectLst/>
            <a:sp3d contourW="25400"/>
          </c:spPr>
          <c:marker>
            <c:symbol val="circle"/>
            <c:size val="4"/>
            <c:spPr>
              <a:solidFill>
                <a:schemeClr val="accent2"/>
              </a:solidFill>
              <a:ln w="9525">
                <a:solidFill>
                  <a:schemeClr val="accent2"/>
                </a:solidFill>
              </a:ln>
              <a:effectLst/>
            </c:spPr>
          </c:marker>
          <c:dLbls>
            <c:delete val="1"/>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Sheet1!$C$2:$C$11</c:f>
              <c:numCache>
                <c:formatCode>General</c:formatCode>
                <c:ptCount val="10"/>
                <c:pt idx="0">
                  <c:v>2.16</c:v>
                </c:pt>
                <c:pt idx="1">
                  <c:v>1.22</c:v>
                </c:pt>
                <c:pt idx="2">
                  <c:v>-0.02</c:v>
                </c:pt>
                <c:pt idx="3">
                  <c:v>-0.79</c:v>
                </c:pt>
                <c:pt idx="4">
                  <c:v>5.72</c:v>
                </c:pt>
                <c:pt idx="5">
                  <c:v>0.63</c:v>
                </c:pt>
                <c:pt idx="6">
                  <c:v>0.92</c:v>
                </c:pt>
                <c:pt idx="7">
                  <c:v>0.64</c:v>
                </c:pt>
                <c:pt idx="8">
                  <c:v>2.71</c:v>
                </c:pt>
                <c:pt idx="9">
                  <c:v>2.5</c:v>
                </c:pt>
              </c:numCache>
            </c:numRef>
          </c:val>
          <c:smooth val="1"/>
        </c:ser>
        <c:ser>
          <c:idx val="2"/>
          <c:order val="2"/>
          <c:tx>
            <c:strRef>
              <c:f>Sheet1!$D$1</c:f>
              <c:strCache>
                <c:ptCount val="1"/>
                <c:pt idx="0">
                  <c:v>三产电力消费弹性系数</c:v>
                </c:pt>
              </c:strCache>
            </c:strRef>
          </c:tx>
          <c:spPr>
            <a:ln w="25400" cap="rnd">
              <a:solidFill>
                <a:schemeClr val="bg1">
                  <a:lumMod val="65000"/>
                </a:schemeClr>
              </a:solidFill>
              <a:round/>
            </a:ln>
            <a:effectLst/>
            <a:sp3d contourW="25400"/>
          </c:spPr>
          <c:marker>
            <c:symbol val="circle"/>
            <c:size val="4"/>
            <c:spPr>
              <a:solidFill>
                <a:schemeClr val="bg1">
                  <a:lumMod val="65000"/>
                </a:schemeClr>
              </a:solidFill>
              <a:ln w="9525">
                <a:noFill/>
              </a:ln>
              <a:effectLst/>
            </c:spPr>
          </c:marker>
          <c:dLbls>
            <c:delete val="1"/>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Sheet1!$D$2:$D$11</c:f>
              <c:numCache>
                <c:formatCode>0.00_ </c:formatCode>
                <c:ptCount val="10"/>
                <c:pt idx="0">
                  <c:v>0.59</c:v>
                </c:pt>
                <c:pt idx="1">
                  <c:v>0.91</c:v>
                </c:pt>
                <c:pt idx="2">
                  <c:v>0.93</c:v>
                </c:pt>
                <c:pt idx="3">
                  <c:v>1.06</c:v>
                </c:pt>
                <c:pt idx="4">
                  <c:v>0.77</c:v>
                </c:pt>
                <c:pt idx="5">
                  <c:v>-2.64</c:v>
                </c:pt>
                <c:pt idx="6">
                  <c:v>1.68</c:v>
                </c:pt>
                <c:pt idx="7">
                  <c:v>-4.5</c:v>
                </c:pt>
                <c:pt idx="8">
                  <c:v>2.48</c:v>
                </c:pt>
                <c:pt idx="9" c:formatCode="0.00_);[Red]\(0.00\)">
                  <c:v>1.38275862068966</c:v>
                </c:pt>
              </c:numCache>
            </c:numRef>
          </c:val>
          <c:smooth val="1"/>
        </c:ser>
        <c:dLbls>
          <c:showLegendKey val="0"/>
          <c:showVal val="0"/>
          <c:showCatName val="0"/>
          <c:showSerName val="0"/>
          <c:showPercent val="0"/>
          <c:showBubbleSize val="0"/>
        </c:dLbls>
        <c:marker val="1"/>
        <c:smooth val="1"/>
        <c:axId val="240771944"/>
        <c:axId val="169176893"/>
      </c:lineChart>
      <c:catAx>
        <c:axId val="240771944"/>
        <c:scaling>
          <c:orientation val="minMax"/>
        </c:scaling>
        <c:delete val="0"/>
        <c:axPos val="b"/>
        <c:majorTickMark val="out"/>
        <c:minorTickMark val="out"/>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69176893"/>
        <c:crosses val="autoZero"/>
        <c:auto val="1"/>
        <c:lblAlgn val="ctr"/>
        <c:lblOffset val="100"/>
        <c:noMultiLvlLbl val="0"/>
      </c:catAx>
      <c:valAx>
        <c:axId val="169176893"/>
        <c:scaling>
          <c:orientation val="minMax"/>
          <c:min val="-5"/>
        </c:scaling>
        <c:delete val="0"/>
        <c:axPos val="l"/>
        <c:majorGridlines>
          <c:spPr>
            <a:ln w="9525" cap="flat" cmpd="sng" algn="ctr">
              <a:solidFill>
                <a:schemeClr val="lt1">
                  <a:lumMod val="90200"/>
                </a:schemeClr>
              </a:solidFill>
              <a:round/>
            </a:ln>
            <a:effectLst/>
          </c:spPr>
        </c:majorGridlines>
        <c:numFmt formatCode="0_);[Red]\(0\)" sourceLinked="0"/>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240771944"/>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2"/>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manualLayout>
          <c:xMode val="edge"/>
          <c:yMode val="edge"/>
          <c:x val="0.00362406378352259"/>
          <c:y val="0.90692732681683"/>
          <c:w val="0.992751872432955"/>
          <c:h val="0.086697832554186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62454699202706"/>
          <c:y val="0.0437125748502994"/>
          <c:w val="0.940130466296207"/>
          <c:h val="0.65940119760479"/>
        </c:manualLayout>
      </c:layout>
      <c:barChart>
        <c:barDir val="col"/>
        <c:grouping val="clustered"/>
        <c:varyColors val="0"/>
        <c:ser>
          <c:idx val="1"/>
          <c:order val="2"/>
          <c:tx>
            <c:strRef>
              <c:f>Sheet1!$D$1</c:f>
              <c:strCache>
                <c:ptCount val="1"/>
                <c:pt idx="0">
                  <c:v>二产电力消费弹性系数</c:v>
                </c:pt>
              </c:strCache>
            </c:strRef>
          </c:tx>
          <c:spPr>
            <a:solidFill>
              <a:schemeClr val="bg1">
                <a:lumMod val="7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Sheet1!$D$2:$D$11</c:f>
              <c:numCache>
                <c:formatCode>0.00_ </c:formatCode>
                <c:ptCount val="10"/>
                <c:pt idx="0">
                  <c:v>2.15833333333333</c:v>
                </c:pt>
                <c:pt idx="1">
                  <c:v>1.21666666666667</c:v>
                </c:pt>
                <c:pt idx="2">
                  <c:v>-0.0189655172413793</c:v>
                </c:pt>
                <c:pt idx="3">
                  <c:v>-0.794444444444445</c:v>
                </c:pt>
                <c:pt idx="4">
                  <c:v>5.72</c:v>
                </c:pt>
                <c:pt idx="5">
                  <c:v>0.630769230769231</c:v>
                </c:pt>
                <c:pt idx="6">
                  <c:v>0.923404255319149</c:v>
                </c:pt>
                <c:pt idx="7">
                  <c:v>0.64375</c:v>
                </c:pt>
                <c:pt idx="8">
                  <c:v>2.71052631578947</c:v>
                </c:pt>
                <c:pt idx="9">
                  <c:v>2.5</c:v>
                </c:pt>
              </c:numCache>
            </c:numRef>
          </c:val>
        </c:ser>
        <c:dLbls>
          <c:showLegendKey val="0"/>
          <c:showVal val="0"/>
          <c:showCatName val="0"/>
          <c:showSerName val="0"/>
          <c:showPercent val="0"/>
          <c:showBubbleSize val="0"/>
        </c:dLbls>
        <c:gapWidth val="150"/>
        <c:overlap val="0"/>
        <c:axId val="166607537"/>
        <c:axId val="612441943"/>
      </c:barChart>
      <c:lineChart>
        <c:grouping val="standard"/>
        <c:varyColors val="0"/>
        <c:ser>
          <c:idx val="0"/>
          <c:order val="0"/>
          <c:tx>
            <c:strRef>
              <c:f>Sheet1!$B$1</c:f>
              <c:strCache>
                <c:ptCount val="1"/>
                <c:pt idx="0">
                  <c:v>二产GDP增长率</c:v>
                </c:pt>
              </c:strCache>
            </c:strRef>
          </c:tx>
          <c:spPr>
            <a:ln w="25400" cap="rnd">
              <a:solidFill>
                <a:schemeClr val="accent2"/>
              </a:solidFill>
              <a:round/>
            </a:ln>
            <a:effectLst/>
            <a:sp3d contourW="25400"/>
          </c:spPr>
          <c:marker>
            <c:symbol val="circle"/>
            <c:size val="4"/>
            <c:spPr>
              <a:solidFill>
                <a:schemeClr val="accent2"/>
              </a:solidFill>
              <a:ln w="9525">
                <a:noFill/>
              </a:ln>
              <a:effectLst/>
            </c:spPr>
          </c:marker>
          <c:dLbls>
            <c:delete val="1"/>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Sheet1!$B$2:$B$11</c:f>
              <c:numCache>
                <c:formatCode>0.00%</c:formatCode>
                <c:ptCount val="10"/>
                <c:pt idx="0">
                  <c:v>0.012</c:v>
                </c:pt>
                <c:pt idx="1">
                  <c:v>0.012</c:v>
                </c:pt>
                <c:pt idx="2">
                  <c:v>0.058</c:v>
                </c:pt>
                <c:pt idx="3">
                  <c:v>0.018</c:v>
                </c:pt>
                <c:pt idx="4">
                  <c:v>0.005</c:v>
                </c:pt>
                <c:pt idx="5">
                  <c:v>0.013</c:v>
                </c:pt>
                <c:pt idx="6">
                  <c:v>0.094</c:v>
                </c:pt>
                <c:pt idx="7">
                  <c:v>-0.016</c:v>
                </c:pt>
                <c:pt idx="8">
                  <c:v>0.019</c:v>
                </c:pt>
                <c:pt idx="9">
                  <c:v>0.012</c:v>
                </c:pt>
              </c:numCache>
            </c:numRef>
          </c:val>
          <c:smooth val="1"/>
        </c:ser>
        <c:ser>
          <c:idx val="2"/>
          <c:order val="1"/>
          <c:tx>
            <c:strRef>
              <c:f>Sheet1!$C$1</c:f>
              <c:strCache>
                <c:ptCount val="1"/>
                <c:pt idx="0">
                  <c:v>二产售电量增长率</c:v>
                </c:pt>
              </c:strCache>
            </c:strRef>
          </c:tx>
          <c:spPr>
            <a:ln w="25400" cap="rnd" cmpd="sng">
              <a:solidFill>
                <a:schemeClr val="accent2"/>
              </a:solidFill>
              <a:prstDash val="sysDot"/>
              <a:round/>
            </a:ln>
            <a:effectLst/>
            <a:sp3d contourW="25400"/>
          </c:spPr>
          <c:marker>
            <c:symbol val="triangle"/>
            <c:size val="4"/>
            <c:spPr>
              <a:solidFill>
                <a:schemeClr val="accent2"/>
              </a:solidFill>
              <a:ln w="9525">
                <a:noFill/>
              </a:ln>
              <a:effectLst/>
            </c:spPr>
          </c:marker>
          <c:dLbls>
            <c:delete val="1"/>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Sheet1!$C$2:$C$11</c:f>
              <c:numCache>
                <c:formatCode>0.00%</c:formatCode>
                <c:ptCount val="10"/>
                <c:pt idx="0">
                  <c:v>0.0259</c:v>
                </c:pt>
                <c:pt idx="1">
                  <c:v>0.0146</c:v>
                </c:pt>
                <c:pt idx="2">
                  <c:v>-0.0011</c:v>
                </c:pt>
                <c:pt idx="3">
                  <c:v>-0.0143</c:v>
                </c:pt>
                <c:pt idx="4">
                  <c:v>0.0286</c:v>
                </c:pt>
                <c:pt idx="5">
                  <c:v>0.0082</c:v>
                </c:pt>
                <c:pt idx="6">
                  <c:v>0.0868</c:v>
                </c:pt>
                <c:pt idx="7">
                  <c:v>-0.0103</c:v>
                </c:pt>
                <c:pt idx="8">
                  <c:v>0.0515</c:v>
                </c:pt>
                <c:pt idx="9">
                  <c:v>0.03</c:v>
                </c:pt>
              </c:numCache>
            </c:numRef>
          </c:val>
          <c:smooth val="1"/>
        </c:ser>
        <c:dLbls>
          <c:showLegendKey val="0"/>
          <c:showVal val="0"/>
          <c:showCatName val="0"/>
          <c:showSerName val="0"/>
          <c:showPercent val="0"/>
          <c:showBubbleSize val="0"/>
        </c:dLbls>
        <c:marker val="1"/>
        <c:smooth val="1"/>
        <c:axId val="240771944"/>
        <c:axId val="169176893"/>
      </c:lineChart>
      <c:catAx>
        <c:axId val="240771944"/>
        <c:scaling>
          <c:orientation val="minMax"/>
        </c:scaling>
        <c:delete val="0"/>
        <c:axPos val="b"/>
        <c:majorTickMark val="out"/>
        <c:minorTickMark val="out"/>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69176893"/>
        <c:crosses val="autoZero"/>
        <c:auto val="1"/>
        <c:lblAlgn val="ctr"/>
        <c:lblOffset val="100"/>
        <c:noMultiLvlLbl val="0"/>
      </c:catAx>
      <c:valAx>
        <c:axId val="169176893"/>
        <c:scaling>
          <c:orientation val="minMax"/>
          <c:max val="0.16"/>
          <c:min val="-0.08"/>
        </c:scaling>
        <c:delete val="0"/>
        <c:axPos val="l"/>
        <c:majorGridlines>
          <c:spPr>
            <a:ln w="9525" cap="flat" cmpd="sng" algn="ctr">
              <a:solidFill>
                <a:schemeClr val="lt1">
                  <a:lumMod val="90200"/>
                </a:schemeClr>
              </a:solidFill>
              <a:round/>
            </a:ln>
            <a:effectLst/>
          </c:spPr>
        </c:majorGridlines>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240771944"/>
        <c:crosses val="autoZero"/>
        <c:crossBetween val="between"/>
        <c:majorUnit val="0.04"/>
      </c:valAx>
      <c:catAx>
        <c:axId val="166607537"/>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612441943"/>
        <c:crosses val="autoZero"/>
        <c:auto val="1"/>
        <c:lblAlgn val="ctr"/>
        <c:lblOffset val="100"/>
        <c:noMultiLvlLbl val="0"/>
      </c:catAx>
      <c:valAx>
        <c:axId val="612441943"/>
        <c:scaling>
          <c:orientation val="minMax"/>
          <c:min val="-6"/>
        </c:scaling>
        <c:delete val="0"/>
        <c:axPos val="r"/>
        <c:numFmt formatCode="0_);[Red]\(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66607537"/>
        <c:crosses val="max"/>
        <c:crossBetween val="between"/>
        <c:majorUnit val="2"/>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2"/>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manualLayout>
          <c:xMode val="edge"/>
          <c:yMode val="edge"/>
          <c:x val="0.00362406378352259"/>
          <c:y val="0.88502994011976"/>
          <c:w val="0.992751872432955"/>
          <c:h val="0.10598802395209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b="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62454699202706"/>
          <c:y val="0.0437125748502994"/>
          <c:w val="0.940130466296207"/>
          <c:h val="0.65940119760479"/>
        </c:manualLayout>
      </c:layout>
      <c:barChart>
        <c:barDir val="col"/>
        <c:grouping val="clustered"/>
        <c:varyColors val="0"/>
        <c:ser>
          <c:idx val="1"/>
          <c:order val="2"/>
          <c:tx>
            <c:strRef>
              <c:f>Sheet1!$D$1</c:f>
              <c:strCache>
                <c:ptCount val="1"/>
                <c:pt idx="0">
                  <c:v>三产电力消费弹性系数</c:v>
                </c:pt>
              </c:strCache>
            </c:strRef>
          </c:tx>
          <c:spPr>
            <a:solidFill>
              <a:schemeClr val="bg1">
                <a:lumMod val="75000"/>
              </a:schemeClr>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Sheet1!$D$2:$D$11</c:f>
              <c:numCache>
                <c:formatCode>0.00_ </c:formatCode>
                <c:ptCount val="10"/>
                <c:pt idx="0">
                  <c:v>0.585849056603774</c:v>
                </c:pt>
                <c:pt idx="1">
                  <c:v>0.914736842105263</c:v>
                </c:pt>
                <c:pt idx="2">
                  <c:v>0.933333333333333</c:v>
                </c:pt>
                <c:pt idx="3">
                  <c:v>1.05632183908046</c:v>
                </c:pt>
                <c:pt idx="4">
                  <c:v>0.765853658536585</c:v>
                </c:pt>
                <c:pt idx="5">
                  <c:v>-2.64444444444444</c:v>
                </c:pt>
                <c:pt idx="6">
                  <c:v>1.68157894736842</c:v>
                </c:pt>
                <c:pt idx="7">
                  <c:v>-4.5</c:v>
                </c:pt>
                <c:pt idx="8">
                  <c:v>2.47666666666667</c:v>
                </c:pt>
                <c:pt idx="9">
                  <c:v>1.38275862068965</c:v>
                </c:pt>
              </c:numCache>
            </c:numRef>
          </c:val>
        </c:ser>
        <c:dLbls>
          <c:showLegendKey val="0"/>
          <c:showVal val="1"/>
          <c:showCatName val="0"/>
          <c:showSerName val="0"/>
          <c:showPercent val="0"/>
          <c:showBubbleSize val="0"/>
        </c:dLbls>
        <c:gapWidth val="150"/>
        <c:overlap val="0"/>
        <c:axId val="613656857"/>
        <c:axId val="679576757"/>
      </c:barChart>
      <c:lineChart>
        <c:grouping val="standard"/>
        <c:varyColors val="0"/>
        <c:ser>
          <c:idx val="0"/>
          <c:order val="0"/>
          <c:tx>
            <c:strRef>
              <c:f>Sheet1!$B$1</c:f>
              <c:strCache>
                <c:ptCount val="1"/>
                <c:pt idx="0">
                  <c:v>三产GDP增长率</c:v>
                </c:pt>
              </c:strCache>
            </c:strRef>
          </c:tx>
          <c:spPr>
            <a:ln w="25400" cap="rnd">
              <a:solidFill>
                <a:schemeClr val="accent1"/>
              </a:solidFill>
              <a:round/>
            </a:ln>
            <a:effectLst/>
            <a:sp3d contourW="25400"/>
          </c:spPr>
          <c:marker>
            <c:symbol val="circle"/>
            <c:size val="4"/>
            <c:spPr>
              <a:solidFill>
                <a:schemeClr val="accent1"/>
              </a:solidFill>
              <a:ln w="9525">
                <a:noFill/>
              </a:ln>
              <a:effectLst/>
            </c:spPr>
          </c:marker>
          <c:dLbls>
            <c:delete val="1"/>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Sheet1!$B$2:$B$11</c:f>
              <c:numCache>
                <c:formatCode>0.00%</c:formatCode>
                <c:ptCount val="10"/>
                <c:pt idx="0">
                  <c:v>0.106</c:v>
                </c:pt>
                <c:pt idx="1">
                  <c:v>0.095</c:v>
                </c:pt>
                <c:pt idx="2">
                  <c:v>0.075</c:v>
                </c:pt>
                <c:pt idx="3">
                  <c:v>0.087</c:v>
                </c:pt>
                <c:pt idx="4">
                  <c:v>0.082</c:v>
                </c:pt>
                <c:pt idx="5">
                  <c:v>0.018</c:v>
                </c:pt>
                <c:pt idx="6">
                  <c:v>0.076</c:v>
                </c:pt>
                <c:pt idx="7">
                  <c:v>0.003</c:v>
                </c:pt>
                <c:pt idx="8">
                  <c:v>0.06</c:v>
                </c:pt>
                <c:pt idx="9">
                  <c:v>0.058</c:v>
                </c:pt>
              </c:numCache>
            </c:numRef>
          </c:val>
          <c:smooth val="1"/>
        </c:ser>
        <c:ser>
          <c:idx val="2"/>
          <c:order val="1"/>
          <c:tx>
            <c:strRef>
              <c:f>Sheet1!$C$1</c:f>
              <c:strCache>
                <c:ptCount val="1"/>
                <c:pt idx="0">
                  <c:v>三产售电量增长率</c:v>
                </c:pt>
              </c:strCache>
            </c:strRef>
          </c:tx>
          <c:spPr>
            <a:ln w="25400" cap="rnd" cmpd="sng">
              <a:solidFill>
                <a:schemeClr val="accent1"/>
              </a:solidFill>
              <a:prstDash val="sysDot"/>
              <a:round/>
            </a:ln>
            <a:effectLst/>
            <a:sp3d contourW="25400"/>
          </c:spPr>
          <c:marker>
            <c:symbol val="triangle"/>
            <c:size val="4"/>
            <c:spPr>
              <a:solidFill>
                <a:schemeClr val="accent1"/>
              </a:solidFill>
              <a:ln w="9525">
                <a:noFill/>
              </a:ln>
              <a:effectLst/>
            </c:spPr>
          </c:marker>
          <c:dLbls>
            <c:delete val="1"/>
          </c:dLbls>
          <c:cat>
            <c:strRef>
              <c:f>Sheet1!$A$2:$A$11</c:f>
              <c:strCache>
                <c:ptCount val="10"/>
                <c:pt idx="0">
                  <c:v>2015</c:v>
                </c:pt>
                <c:pt idx="1">
                  <c:v>2016</c:v>
                </c:pt>
                <c:pt idx="2">
                  <c:v>2017</c:v>
                </c:pt>
                <c:pt idx="3">
                  <c:v>2018</c:v>
                </c:pt>
                <c:pt idx="4">
                  <c:v>2019</c:v>
                </c:pt>
                <c:pt idx="5">
                  <c:v>2020</c:v>
                </c:pt>
                <c:pt idx="6">
                  <c:v>2021</c:v>
                </c:pt>
                <c:pt idx="7">
                  <c:v>2022</c:v>
                </c:pt>
                <c:pt idx="8">
                  <c:v>2023</c:v>
                </c:pt>
                <c:pt idx="9">
                  <c:v>2024
上半年</c:v>
                </c:pt>
              </c:strCache>
            </c:strRef>
          </c:cat>
          <c:val>
            <c:numRef>
              <c:f>Sheet1!$C$2:$C$11</c:f>
              <c:numCache>
                <c:formatCode>0.00%</c:formatCode>
                <c:ptCount val="10"/>
                <c:pt idx="0">
                  <c:v>0.0621</c:v>
                </c:pt>
                <c:pt idx="1">
                  <c:v>0.0869</c:v>
                </c:pt>
                <c:pt idx="2">
                  <c:v>0.07</c:v>
                </c:pt>
                <c:pt idx="3">
                  <c:v>0.0919</c:v>
                </c:pt>
                <c:pt idx="4">
                  <c:v>0.0628</c:v>
                </c:pt>
                <c:pt idx="5">
                  <c:v>-0.0476</c:v>
                </c:pt>
                <c:pt idx="6">
                  <c:v>0.1278</c:v>
                </c:pt>
                <c:pt idx="7">
                  <c:v>-0.0135</c:v>
                </c:pt>
                <c:pt idx="8">
                  <c:v>0.1486</c:v>
                </c:pt>
                <c:pt idx="9">
                  <c:v>0.0802</c:v>
                </c:pt>
              </c:numCache>
            </c:numRef>
          </c:val>
          <c:smooth val="1"/>
        </c:ser>
        <c:dLbls>
          <c:showLegendKey val="0"/>
          <c:showVal val="0"/>
          <c:showCatName val="0"/>
          <c:showSerName val="0"/>
          <c:showPercent val="0"/>
          <c:showBubbleSize val="0"/>
        </c:dLbls>
        <c:marker val="1"/>
        <c:smooth val="1"/>
        <c:axId val="240771944"/>
        <c:axId val="169176893"/>
      </c:lineChart>
      <c:catAx>
        <c:axId val="240771944"/>
        <c:scaling>
          <c:orientation val="minMax"/>
        </c:scaling>
        <c:delete val="0"/>
        <c:axPos val="b"/>
        <c:majorTickMark val="out"/>
        <c:minorTickMark val="out"/>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69176893"/>
        <c:crosses val="autoZero"/>
        <c:auto val="1"/>
        <c:lblAlgn val="ctr"/>
        <c:lblOffset val="100"/>
        <c:noMultiLvlLbl val="0"/>
      </c:catAx>
      <c:valAx>
        <c:axId val="169176893"/>
        <c:scaling>
          <c:orientation val="minMax"/>
        </c:scaling>
        <c:delete val="0"/>
        <c:axPos val="l"/>
        <c:majorGridlines>
          <c:spPr>
            <a:ln w="9525" cap="flat" cmpd="sng" algn="ctr">
              <a:noFill/>
              <a:round/>
            </a:ln>
            <a:effectLst/>
          </c:spPr>
        </c:majorGridlines>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240771944"/>
        <c:crosses val="autoZero"/>
        <c:crossBetween val="between"/>
        <c:majorUnit val="0.04"/>
      </c:valAx>
      <c:catAx>
        <c:axId val="613656857"/>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679576757"/>
        <c:crosses val="autoZero"/>
        <c:auto val="1"/>
        <c:lblAlgn val="ctr"/>
        <c:lblOffset val="100"/>
        <c:noMultiLvlLbl val="0"/>
      </c:catAx>
      <c:valAx>
        <c:axId val="679576757"/>
        <c:scaling>
          <c:orientation val="minMax"/>
          <c:max val="8"/>
        </c:scaling>
        <c:delete val="0"/>
        <c:axPos val="r"/>
        <c:majorGridlines>
          <c:spPr>
            <a:ln w="9525" cap="flat" cmpd="sng" algn="ctr">
              <a:solidFill>
                <a:schemeClr val="lt1">
                  <a:lumMod val="90200"/>
                </a:schemeClr>
              </a:solidFill>
              <a:round/>
            </a:ln>
            <a:effectLst/>
          </c:spPr>
        </c:majorGridlines>
        <c:numFmt formatCode="0_);[Red]\(0\)" sourceLinked="0"/>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613656857"/>
        <c:crosses val="max"/>
        <c:crossBetween val="between"/>
        <c:majorUnit val="2"/>
      </c:valAx>
      <c:spPr>
        <a:noFill/>
        <a:ln>
          <a:noFill/>
        </a:ln>
        <a:effectLst/>
      </c:spPr>
    </c:plotArea>
    <c:legend>
      <c:legendPos val="b"/>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2"/>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manualLayout>
          <c:xMode val="edge"/>
          <c:yMode val="edge"/>
          <c:x val="0.00362406378352259"/>
          <c:y val="0.88502994011976"/>
          <c:w val="0.992751872432955"/>
          <c:h val="0.10598802395209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98675496688742"/>
          <c:y val="0.0363321799307958"/>
          <c:w val="0.880264900662252"/>
          <c:h val="0.592156862745098"/>
        </c:manualLayout>
      </c:layout>
      <c:barChart>
        <c:barDir val="col"/>
        <c:grouping val="clustered"/>
        <c:varyColors val="0"/>
        <c:ser>
          <c:idx val="0"/>
          <c:order val="0"/>
          <c:tx>
            <c:strRef>
              <c:f>Sheet1!$B$1</c:f>
              <c:strCache>
                <c:ptCount val="1"/>
                <c:pt idx="0">
                  <c:v>产值增幅</c:v>
                </c:pt>
              </c:strCache>
            </c:strRef>
          </c:tx>
          <c:spPr>
            <a:solidFill>
              <a:schemeClr val="accent1"/>
            </a:solidFill>
            <a:ln w="25400" cap="rnd">
              <a:noFill/>
              <a:round/>
            </a:ln>
            <a:effectLst/>
            <a:sp3d contourW="25400"/>
          </c:spPr>
          <c:invertIfNegative val="0"/>
          <c:dLbls>
            <c:delete val="1"/>
          </c:dLbls>
          <c:cat>
            <c:strRef>
              <c:f>Sheet1!$A$2:$A$11</c:f>
              <c:strCache>
                <c:ptCount val="10"/>
                <c:pt idx="0">
                  <c:v>石油、煤炭及其
他燃料加工业</c:v>
                </c:pt>
                <c:pt idx="1">
                  <c:v>化学原料和化
学制品制造业</c:v>
                </c:pt>
                <c:pt idx="2">
                  <c:v>黑色金属冶炼
和压延加工业</c:v>
                </c:pt>
                <c:pt idx="3">
                  <c:v>通用设备制造业</c:v>
                </c:pt>
                <c:pt idx="4">
                  <c:v>专用设备制造业</c:v>
                </c:pt>
                <c:pt idx="5">
                  <c:v>汽车制造业</c:v>
                </c:pt>
                <c:pt idx="6">
                  <c:v>铁路、船舶、航空
航天和其他运输
设备制造业</c:v>
                </c:pt>
                <c:pt idx="7">
                  <c:v>电气机械和
器材制造业</c:v>
                </c:pt>
                <c:pt idx="8">
                  <c:v>计算机、通信
和其他电子设
备制造业</c:v>
                </c:pt>
                <c:pt idx="9">
                  <c:v>烟草制品业</c:v>
                </c:pt>
              </c:strCache>
            </c:strRef>
          </c:cat>
          <c:val>
            <c:numRef>
              <c:f>Sheet1!$B$2:$B$11</c:f>
              <c:numCache>
                <c:formatCode>0.00%</c:formatCode>
                <c:ptCount val="10"/>
                <c:pt idx="0">
                  <c:v>0.008</c:v>
                </c:pt>
                <c:pt idx="1">
                  <c:v>0.049</c:v>
                </c:pt>
                <c:pt idx="2">
                  <c:v>-0.053</c:v>
                </c:pt>
                <c:pt idx="3">
                  <c:v>-0.04</c:v>
                </c:pt>
                <c:pt idx="4">
                  <c:v>0.012</c:v>
                </c:pt>
                <c:pt idx="5">
                  <c:v>-0.019</c:v>
                </c:pt>
                <c:pt idx="6">
                  <c:v>0.113</c:v>
                </c:pt>
                <c:pt idx="7">
                  <c:v>-0.056</c:v>
                </c:pt>
                <c:pt idx="8">
                  <c:v>-0.07</c:v>
                </c:pt>
                <c:pt idx="9">
                  <c:v>0.009</c:v>
                </c:pt>
              </c:numCache>
            </c:numRef>
          </c:val>
        </c:ser>
        <c:ser>
          <c:idx val="2"/>
          <c:order val="1"/>
          <c:tx>
            <c:strRef>
              <c:f>Sheet1!$C$1</c:f>
              <c:strCache>
                <c:ptCount val="1"/>
                <c:pt idx="0">
                  <c:v>售电量增幅</c:v>
                </c:pt>
              </c:strCache>
            </c:strRef>
          </c:tx>
          <c:spPr>
            <a:solidFill>
              <a:schemeClr val="accent3"/>
            </a:solidFill>
            <a:ln w="25400" cap="rnd" cmpd="sng">
              <a:noFill/>
              <a:prstDash val="sysDot"/>
              <a:round/>
            </a:ln>
            <a:effectLst/>
            <a:sp3d contourW="25400"/>
          </c:spPr>
          <c:invertIfNegative val="0"/>
          <c:dLbls>
            <c:delete val="1"/>
          </c:dLbls>
          <c:cat>
            <c:strRef>
              <c:f>Sheet1!$A$2:$A$11</c:f>
              <c:strCache>
                <c:ptCount val="10"/>
                <c:pt idx="0">
                  <c:v>石油、煤炭及其
他燃料加工业</c:v>
                </c:pt>
                <c:pt idx="1">
                  <c:v>化学原料和化
学制品制造业</c:v>
                </c:pt>
                <c:pt idx="2">
                  <c:v>黑色金属冶炼
和压延加工业</c:v>
                </c:pt>
                <c:pt idx="3">
                  <c:v>通用设备制造业</c:v>
                </c:pt>
                <c:pt idx="4">
                  <c:v>专用设备制造业</c:v>
                </c:pt>
                <c:pt idx="5">
                  <c:v>汽车制造业</c:v>
                </c:pt>
                <c:pt idx="6">
                  <c:v>铁路、船舶、航空
航天和其他运输
设备制造业</c:v>
                </c:pt>
                <c:pt idx="7">
                  <c:v>电气机械和
器材制造业</c:v>
                </c:pt>
                <c:pt idx="8">
                  <c:v>计算机、通信
和其他电子设
备制造业</c:v>
                </c:pt>
                <c:pt idx="9">
                  <c:v>烟草制品业</c:v>
                </c:pt>
              </c:strCache>
            </c:strRef>
          </c:cat>
          <c:val>
            <c:numRef>
              <c:f>Sheet1!$C$2:$C$11</c:f>
              <c:numCache>
                <c:formatCode>0.00%</c:formatCode>
                <c:ptCount val="10"/>
                <c:pt idx="0">
                  <c:v>0.0245872273991545</c:v>
                </c:pt>
                <c:pt idx="1">
                  <c:v>-0.0147365204711667</c:v>
                </c:pt>
                <c:pt idx="2">
                  <c:v>-0.0765834060642852</c:v>
                </c:pt>
                <c:pt idx="3">
                  <c:v>-0.00477400982806486</c:v>
                </c:pt>
                <c:pt idx="4">
                  <c:v>-0.00405259051801754</c:v>
                </c:pt>
                <c:pt idx="5">
                  <c:v>-0.0632770823114364</c:v>
                </c:pt>
                <c:pt idx="6">
                  <c:v>-0.0448749646471236</c:v>
                </c:pt>
                <c:pt idx="7">
                  <c:v>-0.0047906663072016</c:v>
                </c:pt>
                <c:pt idx="8">
                  <c:v>0.069540583215709</c:v>
                </c:pt>
                <c:pt idx="9">
                  <c:v>-0.0721743486519397</c:v>
                </c:pt>
              </c:numCache>
            </c:numRef>
          </c:val>
        </c:ser>
        <c:dLbls>
          <c:showLegendKey val="0"/>
          <c:showVal val="0"/>
          <c:showCatName val="0"/>
          <c:showSerName val="0"/>
          <c:showPercent val="0"/>
          <c:showBubbleSize val="0"/>
        </c:dLbls>
        <c:gapWidth val="150"/>
        <c:overlap val="0"/>
        <c:axId val="240771944"/>
        <c:axId val="169176893"/>
      </c:barChart>
      <c:lineChart>
        <c:grouping val="standard"/>
        <c:varyColors val="0"/>
        <c:ser>
          <c:idx val="1"/>
          <c:order val="2"/>
          <c:tx>
            <c:strRef>
              <c:f>Sheet1!$D$1</c:f>
              <c:strCache>
                <c:ptCount val="1"/>
                <c:pt idx="0">
                  <c:v>弹性系数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8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石油、煤炭及其
他燃料加工业</c:v>
                </c:pt>
                <c:pt idx="1">
                  <c:v>化学原料和化
学制品制造业</c:v>
                </c:pt>
                <c:pt idx="2">
                  <c:v>黑色金属冶炼
和压延加工业</c:v>
                </c:pt>
                <c:pt idx="3">
                  <c:v>通用设备制造业</c:v>
                </c:pt>
                <c:pt idx="4">
                  <c:v>专用设备制造业</c:v>
                </c:pt>
                <c:pt idx="5">
                  <c:v>汽车制造业</c:v>
                </c:pt>
                <c:pt idx="6">
                  <c:v>铁路、船舶、航空
航天和其他运输
设备制造业</c:v>
                </c:pt>
                <c:pt idx="7">
                  <c:v>电气机械和
器材制造业</c:v>
                </c:pt>
                <c:pt idx="8">
                  <c:v>计算机、通信
和其他电子设
备制造业</c:v>
                </c:pt>
                <c:pt idx="9">
                  <c:v>烟草制品业</c:v>
                </c:pt>
              </c:strCache>
            </c:strRef>
          </c:cat>
          <c:val>
            <c:numRef>
              <c:f>Sheet1!$D$2:$D$11</c:f>
              <c:numCache>
                <c:formatCode>0.00_ </c:formatCode>
                <c:ptCount val="10"/>
                <c:pt idx="0">
                  <c:v>3.07340342489431</c:v>
                </c:pt>
                <c:pt idx="1">
                  <c:v>-0.300745315738096</c:v>
                </c:pt>
                <c:pt idx="2">
                  <c:v>1.44496992574123</c:v>
                </c:pt>
                <c:pt idx="3">
                  <c:v>0.119350245701621</c:v>
                </c:pt>
                <c:pt idx="4">
                  <c:v>-0.337715876501462</c:v>
                </c:pt>
                <c:pt idx="5">
                  <c:v>3.33037275323349</c:v>
                </c:pt>
                <c:pt idx="6">
                  <c:v>-0.397123580947996</c:v>
                </c:pt>
                <c:pt idx="7">
                  <c:v>0.0855476126286</c:v>
                </c:pt>
                <c:pt idx="8">
                  <c:v>-0.993436903081557</c:v>
                </c:pt>
                <c:pt idx="9">
                  <c:v>-8.01937207243775</c:v>
                </c:pt>
              </c:numCache>
            </c:numRef>
          </c:val>
          <c:smooth val="0"/>
        </c:ser>
        <c:dLbls>
          <c:showLegendKey val="0"/>
          <c:showVal val="0"/>
          <c:showCatName val="0"/>
          <c:showSerName val="0"/>
          <c:showPercent val="0"/>
          <c:showBubbleSize val="0"/>
        </c:dLbls>
        <c:marker val="1"/>
        <c:smooth val="0"/>
        <c:axId val="166607537"/>
        <c:axId val="612441943"/>
      </c:lineChart>
      <c:catAx>
        <c:axId val="240771944"/>
        <c:scaling>
          <c:orientation val="minMax"/>
        </c:scaling>
        <c:delete val="0"/>
        <c:axPos val="b"/>
        <c:majorTickMark val="out"/>
        <c:minorTickMark val="out"/>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6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69176893"/>
        <c:crosses val="autoZero"/>
        <c:auto val="1"/>
        <c:lblAlgn val="ctr"/>
        <c:lblOffset val="100"/>
        <c:noMultiLvlLbl val="0"/>
      </c:catAx>
      <c:valAx>
        <c:axId val="169176893"/>
        <c:scaling>
          <c:orientation val="minMax"/>
        </c:scaling>
        <c:delete val="0"/>
        <c:axPos val="l"/>
        <c:majorGridlines>
          <c:spPr>
            <a:ln w="9525" cap="flat" cmpd="sng" algn="ctr">
              <a:solidFill>
                <a:schemeClr val="lt1">
                  <a:lumMod val="90200"/>
                </a:schemeClr>
              </a:solidFill>
              <a:round/>
            </a:ln>
            <a:effectLst/>
          </c:spPr>
        </c:majorGridlines>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240771944"/>
        <c:crosses val="autoZero"/>
        <c:crossBetween val="between"/>
      </c:valAx>
      <c:catAx>
        <c:axId val="166607537"/>
        <c:scaling>
          <c:orientation val="minMax"/>
        </c:scaling>
        <c:delete val="1"/>
        <c:axPos val="b"/>
        <c:majorTickMark val="none"/>
        <c:minorTickMark val="none"/>
        <c:tickLblPos val="nextTo"/>
        <c:txPr>
          <a:bodyPr rot="-60000000" spcFirstLastPara="0" vertOverflow="ellipsis" vert="horz" wrap="square" anchor="ctr" anchorCtr="1"/>
          <a:lstStyle/>
          <a:p>
            <a:pPr>
              <a:defRPr lang="zh-CN" sz="8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612441943"/>
        <c:crosses val="autoZero"/>
        <c:auto val="1"/>
        <c:lblAlgn val="ctr"/>
        <c:lblOffset val="100"/>
        <c:noMultiLvlLbl val="0"/>
      </c:catAx>
      <c:valAx>
        <c:axId val="612441943"/>
        <c:scaling>
          <c:orientation val="minMax"/>
        </c:scaling>
        <c:delete val="0"/>
        <c:axPos val="r"/>
        <c:numFmt formatCode="0_);[Red]\(0\)" sourceLinked="0"/>
        <c:majorTickMark val="none"/>
        <c:minorTickMark val="none"/>
        <c:tickLblPos val="nextTo"/>
        <c:spPr>
          <a:noFill/>
          <a:ln>
            <a:noFill/>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crossAx val="166607537"/>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8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8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2"/>
        <c:txPr>
          <a:bodyPr rot="0" spcFirstLastPara="0" vertOverflow="ellipsis" vert="horz" wrap="square" anchor="ctr" anchorCtr="1"/>
          <a:lstStyle/>
          <a:p>
            <a:pPr>
              <a:defRPr lang="zh-CN" sz="8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manualLayout>
          <c:xMode val="edge"/>
          <c:yMode val="edge"/>
          <c:x val="0.00421659967698839"/>
          <c:y val="0.887315547476475"/>
          <c:w val="0.992751872432955"/>
          <c:h val="0.105988023952096"/>
        </c:manualLayout>
      </c:layout>
      <c:overlay val="0"/>
      <c:spPr>
        <a:noFill/>
        <a:ln>
          <a:noFill/>
        </a:ln>
        <a:effectLst/>
      </c:spPr>
      <c:txPr>
        <a:bodyPr rot="0" spcFirstLastPara="0" vertOverflow="ellipsis" vert="horz" wrap="square" anchor="ctr" anchorCtr="1"/>
        <a:lstStyle/>
        <a:p>
          <a:pPr>
            <a:defRPr lang="zh-CN" sz="800" b="0" i="0" u="none" strike="noStrike" kern="1200" baseline="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800" b="0">
          <a:solidFill>
            <a:sysClr val="windowText" lastClr="000000"/>
          </a:solidFill>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3963</Words>
  <Characters>4482</Characters>
  <Lines>0</Lines>
  <Paragraphs>0</Paragraphs>
  <TotalTime>3</TotalTime>
  <ScaleCrop>false</ScaleCrop>
  <LinksUpToDate>false</LinksUpToDate>
  <CharactersWithSpaces>4512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2024-06-26T05:46:00Z</dcterms:created>
  <dc:creator>lsqingd</dc:creator>
  <cp:lastModifiedBy>小田Yimi</cp:lastModifiedBy>
  <dcterms:modified xsi:type="dcterms:W3CDTF">2024-08-01T04:31:02Z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6F8A352C542149C8921D799F9DF4E83C_12</vt:lpwstr>
  </property>
</Properties>
</file>