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Calibri" w:hAnsi="Calibri"/>
          <w:b/>
          <w:i w:val="0"/>
          <w:color w:val="1F4E79"/>
          <w:sz w:val="24"/>
        </w:rPr>
        <w:t>THE NATIONAL INSTITUTE OF ENGINEERING, MYSURU</w:t>
      </w:r>
    </w:p>
    <w:p>
      <w:pPr>
        <w:spacing w:before="0" w:after="960" w:line="276" w:lineRule="auto"/>
        <w:jc w:val="center"/>
      </w:pPr>
      <w:r>
        <w:rPr>
          <w:rFonts w:ascii="Calibri" w:hAnsi="Calibri"/>
          <w:b/>
          <w:i w:val="0"/>
          <w:color w:val="646464"/>
          <w:sz w:val="22"/>
        </w:rPr>
        <w:t>DEPARTMENT OF INFORMATION SCIENCE AND ENGINEERING</w:t>
        <w:br/>
      </w:r>
    </w:p>
    <w:p>
      <w:pPr>
        <w:spacing w:before="0" w:after="480" w:line="276" w:lineRule="auto"/>
        <w:jc w:val="center"/>
      </w:pPr>
      <w:r>
        <w:rPr>
          <w:rFonts w:ascii="Calibri" w:hAnsi="Calibri"/>
          <w:b/>
          <w:i w:val="0"/>
          <w:color w:val="1F4E79"/>
          <w:sz w:val="40"/>
        </w:rPr>
        <w:br/>
        <w:t>LITERATURE SURVEY ON</w:t>
        <w:br/>
        <w:t>SMART CAREER PORTAL WITH AI RESUME RANKING AND SKILL-GAP ANALYSIS</w:t>
        <w:br/>
      </w:r>
    </w:p>
    <w:p>
      <w:pPr>
        <w:spacing w:before="0" w:after="960" w:line="276" w:lineRule="auto"/>
        <w:jc w:val="center"/>
      </w:pPr>
      <w:r>
        <w:rPr>
          <w:rFonts w:ascii="Calibri" w:hAnsi="Calibri"/>
          <w:b w:val="0"/>
          <w:i/>
          <w:color w:val="333333"/>
          <w:sz w:val="24"/>
        </w:rPr>
        <w:t>Submitted in partial fulfillment of the requirements for the course of</w:t>
        <w:br/>
        <w:t>MAJOR PROJECT (BIS785)</w:t>
        <w:br/>
        <w:t>VII Semester</w:t>
      </w:r>
    </w:p>
    <w:tbl>
      <w:tblPr>
        <w:tblW w:type="auto" w:w="0"/>
        <w:jc w:val="center"/>
        <w:tblLayout w:type="fixed"/>
        <w:tblLook w:firstColumn="1" w:firstRow="1" w:lastColumn="0" w:lastRow="0" w:noHBand="0" w:noVBand="1" w:val="04A0"/>
      </w:tblPr>
      <w:tblGrid>
        <w:gridCol w:w="4320"/>
        <w:gridCol w:w="4320"/>
      </w:tblGrid>
      <w:tr>
        <w:tc>
          <w:tcPr>
            <w:tcW w:type="dxa" w:w="4680"/>
          </w:tcPr>
          <w:p>
            <w:pPr>
              <w:spacing w:line="288" w:lineRule="auto"/>
              <w:jc w:val="left"/>
            </w:pPr>
            <w:r>
              <w:rPr>
                <w:rFonts w:ascii="Calibri" w:hAnsi="Calibri"/>
                <w:b/>
                <w:i w:val="0"/>
                <w:color w:val="1F4E79"/>
                <w:sz w:val="22"/>
              </w:rPr>
              <w:t>Submitted by:</w:t>
              <w:br/>
            </w:r>
            <w:r>
              <w:rPr>
                <w:rFonts w:ascii="Calibri" w:hAnsi="Calibri"/>
                <w:b w:val="0"/>
                <w:i w:val="0"/>
                <w:color w:val="333333"/>
                <w:sz w:val="22"/>
              </w:rPr>
              <w:t>Kaushal Prakash (4NI23IS084)</w:t>
              <w:br/>
              <w:t>Jayantilal Mali (4NI23IS076)</w:t>
              <w:br/>
              <w:t>Aditya Raj (4NI23IS251)</w:t>
              <w:br/>
              <w:t>Ibaadur Rahman (4NI23IS073)</w:t>
              <w:br/>
              <w:t>Batch No: B24</w:t>
            </w:r>
          </w:p>
        </w:tc>
        <w:tc>
          <w:tcPr>
            <w:tcW w:type="dxa" w:w="4680"/>
          </w:tcPr>
          <w:p>
            <w:pPr>
              <w:spacing w:line="288" w:lineRule="auto"/>
              <w:jc w:val="right"/>
            </w:pPr>
            <w:r>
              <w:rPr>
                <w:rFonts w:ascii="Calibri" w:hAnsi="Calibri"/>
                <w:b/>
                <w:i w:val="0"/>
                <w:color w:val="1F4E79"/>
                <w:sz w:val="22"/>
              </w:rPr>
              <w:t>Under the guidance of:</w:t>
              <w:br/>
            </w:r>
            <w:r>
              <w:rPr>
                <w:rFonts w:ascii="Calibri" w:hAnsi="Calibri"/>
                <w:b w:val="0"/>
                <w:i w:val="0"/>
                <w:color w:val="333333"/>
                <w:sz w:val="22"/>
              </w:rPr>
              <w:t>Ms. Padma M T</w:t>
              <w:br/>
              <w:t>Assistant Professor</w:t>
              <w:br/>
              <w:t>Dept. of Information Science &amp; Engg.</w:t>
              <w:br/>
              <w:t>NIE, Mysuru</w:t>
            </w:r>
          </w:p>
        </w:tc>
      </w:tr>
    </w:tbl>
    <w:p>
      <w:r>
        <w:br/>
        <w:br/>
        <w:br/>
        <w:br/>
      </w:r>
    </w:p>
    <w:p>
      <w:pPr>
        <w:spacing w:before="960" w:after="120" w:line="276" w:lineRule="auto"/>
        <w:jc w:val="center"/>
      </w:pPr>
      <w:r>
        <w:rPr>
          <w:rFonts w:ascii="Calibri" w:hAnsi="Calibri"/>
          <w:b/>
          <w:i w:val="0"/>
          <w:color w:val="646464"/>
          <w:sz w:val="22"/>
        </w:rPr>
        <w:t>Academic Year: 2026 - 2027</w:t>
      </w:r>
    </w:p>
    <w:p>
      <w:r>
        <w:br w:type="page"/>
      </w:r>
    </w:p>
    <w:p>
      <w:pPr>
        <w:spacing w:before="240" w:after="120" w:line="276" w:lineRule="auto"/>
        <w:jc w:val="left"/>
      </w:pPr>
      <w:r>
        <w:rPr>
          <w:rFonts w:ascii="Calibri" w:hAnsi="Calibri"/>
          <w:b/>
          <w:i w:val="0"/>
          <w:color w:val="1F4E79"/>
          <w:sz w:val="32"/>
        </w:rPr>
        <w:t>Abstract</w:t>
      </w:r>
    </w:p>
    <w:p>
      <w:pPr>
        <w:spacing w:before="0" w:after="360" w:line="276" w:lineRule="auto"/>
        <w:jc w:val="left"/>
      </w:pPr>
      <w:r>
        <w:rPr>
          <w:rFonts w:ascii="Calibri" w:hAnsi="Calibri"/>
          <w:b w:val="0"/>
          <w:i w:val="0"/>
          <w:color w:val="333333"/>
          <w:sz w:val="22"/>
        </w:rPr>
        <w:t>During the university placement season, academic institutions face a double challenge: the operational overhead of coordinating recruitment drives and the pedagogical necessity of preparing students for technical evaluations. Traditional placement systems rely heavily on manual administrative tracking and arbitrary screening metrics (such as CGPA thresholds) to shortlist candidates. This literature survey examines the academic and technical progression of automated hiring, tracing the shift from legacy, rule-based Applicant Tracking Systems (ATS) to statistical NLP approaches, and ultimately to contemporary Deep Learning and Retrieval-Augmented Generation (RAG) architectures. By reviewing existing research, we identify significant gaps in current recruitment systems, specifically the lack of student-centric preparation tools and the failure to integrate college-specific institutional workflows (e.g., matching-driven recommendations, timetabling conflict resolution, and strict offer management guidelines). Finally, this document outlines the proposed Smart Career Portal, an enterprise-grade placement platform that integrates Sentence-BERT semantic resume ranking with LLM-driven mock interview generation, bridging administrative logistics with proactive career preparation.</w:t>
      </w:r>
    </w:p>
    <w:p>
      <w:pPr>
        <w:spacing w:before="360" w:after="120" w:line="276" w:lineRule="auto"/>
        <w:jc w:val="left"/>
      </w:pPr>
      <w:r>
        <w:rPr>
          <w:rFonts w:ascii="Calibri" w:hAnsi="Calibri"/>
          <w:b/>
          <w:i w:val="0"/>
          <w:color w:val="1F4E79"/>
          <w:sz w:val="32"/>
        </w:rPr>
        <w:t>1. Introduction</w:t>
      </w:r>
    </w:p>
    <w:p>
      <w:pPr>
        <w:spacing w:before="0" w:after="120" w:line="276" w:lineRule="auto"/>
        <w:jc w:val="left"/>
      </w:pPr>
      <w:r>
        <w:rPr>
          <w:rFonts w:ascii="Calibri" w:hAnsi="Calibri"/>
          <w:b w:val="0"/>
          <w:i w:val="0"/>
          <w:color w:val="333333"/>
          <w:sz w:val="22"/>
        </w:rPr>
        <w:t>College placement cells play a vital role in bridging academia and industry. However, managing campus placements manually using spreadsheets and legacy databases introduces high operational friction, schedule conflicts, and unreliable applicant tracking. Furthermore, the screening process is historically restrictive. When companies receive hundreds of applications, administrative bodies often resort to raising academic criteria (e.g., minimum CGPA cutoffs) purely to reduce the applicant pool. This reliance on rigid thresholds overlooks students who have strong technical competencies but slightly lower academic scores, creating a mismatch between company requirements and student skills.</w:t>
      </w:r>
    </w:p>
    <w:p>
      <w:pPr>
        <w:spacing w:before="0" w:after="360" w:line="276" w:lineRule="auto"/>
        <w:jc w:val="left"/>
      </w:pPr>
      <w:r>
        <w:rPr>
          <w:rFonts w:ascii="Calibri" w:hAnsi="Calibri"/>
          <w:b w:val="0"/>
          <w:i w:val="0"/>
          <w:color w:val="333333"/>
          <w:sz w:val="22"/>
        </w:rPr>
        <w:t>On the applicant side, students face a preparation gap. Standard preparation resources provide generic questions, failing to evaluate candidates against the actual job description (JD) or the specific historical context of the visiting company. Thus, there is a clear need for an integrated system that addresses both sides of the placement ecosystem: streamlining cell operations and offering intelligent, data-driven match recommendations and mock preparations. This literature survey reviews the technological components necessary to build such a system, evaluating traditional ATS tools, semantic sentence embedding models, Retrieval-Augmented Generation, and institutional operational policies.</w:t>
      </w:r>
    </w:p>
    <w:p>
      <w:pPr>
        <w:spacing w:before="360" w:after="120" w:line="276" w:lineRule="auto"/>
        <w:jc w:val="left"/>
      </w:pPr>
      <w:r>
        <w:rPr>
          <w:rFonts w:ascii="Calibri" w:hAnsi="Calibri"/>
          <w:b/>
          <w:i w:val="0"/>
          <w:color w:val="1F4E79"/>
          <w:sz w:val="32"/>
        </w:rPr>
        <w:t>2. Literature Review</w:t>
      </w:r>
    </w:p>
    <w:p>
      <w:pPr>
        <w:spacing w:before="240" w:after="80" w:line="276" w:lineRule="auto"/>
        <w:jc w:val="left"/>
      </w:pPr>
      <w:r>
        <w:rPr>
          <w:rFonts w:ascii="Calibri" w:hAnsi="Calibri"/>
          <w:b/>
          <w:i w:val="0"/>
          <w:color w:val="2F5597"/>
          <w:sz w:val="26"/>
        </w:rPr>
        <w:t>2.1 Traditional Applicant Tracking Systems (ATS) and Keyword Filtering</w:t>
      </w:r>
    </w:p>
    <w:p>
      <w:pPr>
        <w:spacing w:before="0" w:after="240" w:line="276" w:lineRule="auto"/>
        <w:jc w:val="left"/>
      </w:pPr>
      <w:r>
        <w:rPr>
          <w:rFonts w:ascii="Calibri" w:hAnsi="Calibri"/>
          <w:b w:val="0"/>
          <w:i w:val="0"/>
          <w:color w:val="333333"/>
          <w:sz w:val="22"/>
        </w:rPr>
        <w:t>Early recruitment software utilized rule-based parsers to extract text from candidate resumes and match them against job descriptions based on string matching and regular expressions. These systems are commonly referred to as keyword-based Applicant Tracking Systems. In university databases, these systems operate by matching specific query strings (e.g., "Java", "React") against candidate profiles to generate shortlists. Research indicates that this approach exhibits severe vulnerabilities to keyword stuffing—where candidates place relevant terms in invisible or white text to manipulate the score. Moreover, they lack semantic understanding; they fail to recognize synonyms or associate related concepts, leading to high false-negative rates (e.g., rejecting a candidate who lists "Docker" and "Kubernetes" because the exact word "containerization" is missing).</w:t>
      </w:r>
    </w:p>
    <w:p>
      <w:pPr>
        <w:spacing w:before="240" w:after="80" w:line="276" w:lineRule="auto"/>
        <w:jc w:val="left"/>
      </w:pPr>
      <w:r>
        <w:rPr>
          <w:rFonts w:ascii="Calibri" w:hAnsi="Calibri"/>
          <w:b/>
          <w:i w:val="0"/>
          <w:color w:val="2F5597"/>
          <w:sz w:val="26"/>
        </w:rPr>
        <w:t>2.2 Statistical NLP and Early Machine Learning (TF-IDF &amp; Cosine Similarity)</w:t>
      </w:r>
    </w:p>
    <w:p>
      <w:pPr>
        <w:spacing w:before="0" w:after="240" w:line="276" w:lineRule="auto"/>
        <w:jc w:val="left"/>
      </w:pPr>
      <w:r>
        <w:rPr>
          <w:rFonts w:ascii="Calibri" w:hAnsi="Calibri"/>
          <w:b w:val="0"/>
          <w:i w:val="0"/>
          <w:color w:val="333333"/>
          <w:sz w:val="22"/>
        </w:rPr>
        <w:t>To move beyond binary keyword matches, researchers introduced Vector Space Models (VSM) using Term Frequency-Inverse Document Frequency (TF-IDF). TF-IDF statistically weights the importance of words in a document corpus. When applied to recruitment, resumes and job descriptions are converted into TF-IDF vector representations, and their similarity is calculated using Cosine Similarity. While TF-IDF provides a numerical ranking instead of a binary decision, it still treats documents as collections of independent words. It remains contextually blind and fails to handle word order, polysemy (words with multiple meanings), and synonymy (different words with the same meaning).</w:t>
      </w:r>
    </w:p>
    <w:p>
      <w:pPr>
        <w:spacing w:before="240" w:after="80" w:line="276" w:lineRule="auto"/>
        <w:jc w:val="left"/>
      </w:pPr>
      <w:r>
        <w:rPr>
          <w:rFonts w:ascii="Calibri" w:hAnsi="Calibri"/>
          <w:b/>
          <w:i w:val="0"/>
          <w:color w:val="2F5597"/>
          <w:sz w:val="26"/>
        </w:rPr>
        <w:t>2.3 Deep Learning &amp; Transformer-Based Semantic Matching</w:t>
      </w:r>
    </w:p>
    <w:p>
      <w:pPr>
        <w:spacing w:before="0" w:after="240" w:line="276" w:lineRule="auto"/>
        <w:jc w:val="left"/>
      </w:pPr>
      <w:r>
        <w:rPr>
          <w:rFonts w:ascii="Calibri" w:hAnsi="Calibri"/>
          <w:b w:val="0"/>
          <w:i w:val="0"/>
          <w:color w:val="333333"/>
          <w:sz w:val="22"/>
        </w:rPr>
        <w:t>The introduction of the Transformer architecture, specifically BERT (Bidirectional Encoder Representations from Transformers), marked a significant shift in Natural Language Processing. BERT captures bidirectional context, allowing for dense vector representations that encode semantic meaning. Reimers and Gurevych (2019) introduced Sentence-BERT (SBERT), which uses Siamese networks to generate highly accurate sentence-level embeddings that can be compared rapidly using cosine similarity. In the context of recruitment, SBERT allows the mapping of resumes and job descriptions into a shared embedding space. Recent models like CareerBERT (2025) and conSultantBERT (2021) demonstrate that semantic matching can successfully group matching jobs and job seekers by evaluating the contextual proximity of skills, experiences, and project scopes, ensuring that a search for "Frontend Developer" correctly matches a resume highlighting "React and Next.js."</w:t>
      </w:r>
    </w:p>
    <w:p>
      <w:pPr>
        <w:spacing w:before="240" w:after="80" w:line="276" w:lineRule="auto"/>
        <w:jc w:val="left"/>
      </w:pPr>
      <w:r>
        <w:rPr>
          <w:rFonts w:ascii="Calibri" w:hAnsi="Calibri"/>
          <w:b/>
          <w:i w:val="0"/>
          <w:color w:val="2F5597"/>
          <w:sz w:val="26"/>
        </w:rPr>
        <w:t>2.4 Large Language Models (LLMs) &amp; Retrieval-Augmented Generation (RAG) in Education</w:t>
      </w:r>
    </w:p>
    <w:p>
      <w:pPr>
        <w:spacing w:before="0" w:after="240" w:line="276" w:lineRule="auto"/>
        <w:jc w:val="left"/>
      </w:pPr>
      <w:r>
        <w:rPr>
          <w:rFonts w:ascii="Calibri" w:hAnsi="Calibri"/>
          <w:b w:val="0"/>
          <w:i w:val="0"/>
          <w:color w:val="333333"/>
          <w:sz w:val="22"/>
        </w:rPr>
        <w:t>Large Language Models (LLMs) such as GPT-4 and Llama have demonstrated high capabilities in synthesis, reasoning, and context generation. However, out-of-the-box LLMs suffer from hallucinations and lack access to private, real-time datasets. Retrieval-Augmented Generation (RAG), pioneered by Lewis et al. (2020), addresses this constraint by retrieving relevant documents from an external vector index and feeding them into the LLM context window. In academic placement cells, RAG can be applied to synthesize three critical data sources: the specific Job Description, the student's unique resume, and historical alumni interview feedback. This allows the system to identify the precise skill-gap (e.g., missing database indexing skills for a DBA role) and generate hyper-personalized mock interview scenarios that simulate real interview loops, transforming placement portals from passive record-keepers into active preparation engines.</w:t>
      </w:r>
    </w:p>
    <w:p>
      <w:pPr>
        <w:spacing w:before="240" w:after="80" w:line="276" w:lineRule="auto"/>
        <w:jc w:val="left"/>
      </w:pPr>
      <w:r>
        <w:rPr>
          <w:rFonts w:ascii="Calibri" w:hAnsi="Calibri"/>
          <w:b/>
          <w:i w:val="0"/>
          <w:color w:val="2F5597"/>
          <w:sz w:val="26"/>
        </w:rPr>
        <w:t>2.5 Operational Automation in Academic Placement Cells</w:t>
      </w:r>
    </w:p>
    <w:p>
      <w:pPr>
        <w:spacing w:before="0" w:after="360" w:line="276" w:lineRule="auto"/>
        <w:jc w:val="left"/>
      </w:pPr>
      <w:r>
        <w:rPr>
          <w:rFonts w:ascii="Calibri" w:hAnsi="Calibri"/>
          <w:b w:val="0"/>
          <w:i w:val="0"/>
          <w:color w:val="333333"/>
          <w:sz w:val="22"/>
        </w:rPr>
        <w:t>Beyond candidate screening, placement administration involves complex logistics. Institutional policies, such as the "One-Student-One-Job" rule (enforced by top-tier Indian institutes like IITs and NITs to prevent job hoarding and ensure equal opportunities), require strict real-time state management. Furthermore, scheduling interview slots during peak placement periods (e.g., Day 1 recruiters) is a variation of the NP-hard Timetabling Problem. Academic research outlines the use of automated slotting systems that cross-reference recruiter slots, student eligibility, and room availability to resolve overlaps. Integrating policy enforcement with automated scheduling prevents administrative conflicts and ensures operational fairness.</w:t>
      </w:r>
    </w:p>
    <w:p>
      <w:pPr>
        <w:spacing w:before="360" w:after="120" w:line="276" w:lineRule="auto"/>
        <w:jc w:val="left"/>
      </w:pPr>
      <w:r>
        <w:rPr>
          <w:rFonts w:ascii="Calibri" w:hAnsi="Calibri"/>
          <w:b/>
          <w:i w:val="0"/>
          <w:color w:val="1F4E79"/>
          <w:sz w:val="32"/>
        </w:rPr>
        <w:t>3. Comparison of Existing Work vs. Proposed System</w:t>
      </w:r>
    </w:p>
    <w:tbl>
      <w:tblPr>
        <w:tblW w:type="auto" w:w="0"/>
        <w:jc w:val="center"/>
        <w:tblLayout w:type="fixed"/>
        <w:tblLook w:firstColumn="1" w:firstRow="1" w:lastColumn="0" w:lastRow="0" w:noHBand="0" w:noVBand="1" w:val="04A0"/>
        <w:tblBorders>
          <w:top w:val="single" w:sz="6" w:space="0" w:color="CCCCCC"/>
          <w:left w:val="none"/>
          <w:bottom w:val="single" w:sz="8" w:space="0" w:color="CCCCCC"/>
          <w:right w:val="none"/>
          <w:insideH w:val="single" w:sz="4" w:space="0" w:color="CCCCCC"/>
          <w:insideV w:val="none"/>
        </w:tblBorders>
      </w:tblPr>
      <w:tblGrid>
        <w:gridCol w:w="1728"/>
        <w:gridCol w:w="2592"/>
        <w:gridCol w:w="2592"/>
        <w:gridCol w:w="2880"/>
      </w:tblGrid>
      <w:tr>
        <w:tc>
          <w:tcPr>
            <w:tcW w:type="dxa" w:w="1728"/>
            <w:shd w:fill="1F4E79"/>
            <w:tcMar>
              <w:top w:w="120" w:type="dxa"/>
              <w:bottom w:w="120" w:type="dxa"/>
              <w:left w:w="120" w:type="dxa"/>
              <w:right w:w="120" w:type="dxa"/>
            </w:tcMar>
          </w:tcPr>
          <w:p>
            <w:pPr>
              <w:spacing w:before="80" w:after="80"/>
              <w:jc w:val="center"/>
            </w:pPr>
            <w:r>
              <w:rPr>
                <w:rFonts w:ascii="Calibri" w:hAnsi="Calibri"/>
                <w:b/>
                <w:i w:val="0"/>
                <w:color w:val="FFFFFF"/>
                <w:sz w:val="20"/>
              </w:rPr>
              <w:t>Feature</w:t>
            </w:r>
          </w:p>
        </w:tc>
        <w:tc>
          <w:tcPr>
            <w:tcW w:type="dxa" w:w="2592"/>
            <w:shd w:fill="1F4E79"/>
            <w:tcMar>
              <w:top w:w="120" w:type="dxa"/>
              <w:bottom w:w="120" w:type="dxa"/>
              <w:left w:w="120" w:type="dxa"/>
              <w:right w:w="120" w:type="dxa"/>
            </w:tcMar>
          </w:tcPr>
          <w:p>
            <w:pPr>
              <w:spacing w:before="80" w:after="80"/>
              <w:jc w:val="center"/>
            </w:pPr>
            <w:r>
              <w:rPr>
                <w:rFonts w:ascii="Calibri" w:hAnsi="Calibri"/>
                <w:b/>
                <w:i w:val="0"/>
                <w:color w:val="FFFFFF"/>
                <w:sz w:val="20"/>
              </w:rPr>
              <w:t>Traditional ATS</w:t>
            </w:r>
          </w:p>
        </w:tc>
        <w:tc>
          <w:tcPr>
            <w:tcW w:type="dxa" w:w="2592"/>
            <w:shd w:fill="1F4E79"/>
            <w:tcMar>
              <w:top w:w="120" w:type="dxa"/>
              <w:bottom w:w="120" w:type="dxa"/>
              <w:left w:w="120" w:type="dxa"/>
              <w:right w:w="120" w:type="dxa"/>
            </w:tcMar>
          </w:tcPr>
          <w:p>
            <w:pPr>
              <w:spacing w:before="80" w:after="80"/>
              <w:jc w:val="center"/>
            </w:pPr>
            <w:r>
              <w:rPr>
                <w:rFonts w:ascii="Calibri" w:hAnsi="Calibri"/>
                <w:b/>
                <w:i w:val="0"/>
                <w:color w:val="FFFFFF"/>
                <w:sz w:val="20"/>
              </w:rPr>
              <w:t>ML/NLP-based Portals</w:t>
            </w:r>
          </w:p>
        </w:tc>
        <w:tc>
          <w:tcPr>
            <w:tcW w:type="dxa" w:w="2880"/>
            <w:shd w:fill="1F4E79"/>
            <w:tcMar>
              <w:top w:w="120" w:type="dxa"/>
              <w:bottom w:w="120" w:type="dxa"/>
              <w:left w:w="120" w:type="dxa"/>
              <w:right w:w="120" w:type="dxa"/>
            </w:tcMar>
          </w:tcPr>
          <w:p>
            <w:pPr>
              <w:spacing w:before="80" w:after="80"/>
              <w:jc w:val="center"/>
            </w:pPr>
            <w:r>
              <w:rPr>
                <w:rFonts w:ascii="Calibri" w:hAnsi="Calibri"/>
                <w:b/>
                <w:i w:val="0"/>
                <w:color w:val="FFFFFF"/>
                <w:sz w:val="20"/>
              </w:rPr>
              <w:t>Proposed Smart Career Portal</w:t>
            </w:r>
          </w:p>
        </w:tc>
      </w:tr>
      <w:tr>
        <w:tc>
          <w:tcPr>
            <w:tcW w:type="dxa" w:w="1728"/>
            <w:shd w:fill="FFFFFF"/>
            <w:tcMar>
              <w:top w:w="100" w:type="dxa"/>
              <w:bottom w:w="100" w:type="dxa"/>
              <w:left w:w="100" w:type="dxa"/>
              <w:right w:w="100" w:type="dxa"/>
            </w:tcMar>
          </w:tcPr>
          <w:p>
            <w:pPr>
              <w:spacing w:before="80" w:after="80" w:line="276" w:lineRule="auto"/>
            </w:pPr>
            <w:r>
              <w:rPr>
                <w:rFonts w:ascii="Calibri" w:hAnsi="Calibri"/>
                <w:b/>
                <w:i w:val="0"/>
                <w:color w:val="1F4E79"/>
                <w:sz w:val="19"/>
              </w:rPr>
              <w:t>Matching Engine</w:t>
            </w:r>
          </w:p>
        </w:tc>
        <w:tc>
          <w:tcPr>
            <w:tcW w:type="dxa" w:w="2592"/>
            <w:shd w:fill="FFFFFF"/>
            <w:tcMar>
              <w:top w:w="100" w:type="dxa"/>
              <w:bottom w:w="100" w:type="dxa"/>
              <w:left w:w="100" w:type="dxa"/>
              <w:right w:w="100" w:type="dxa"/>
            </w:tcMar>
          </w:tcPr>
          <w:p>
            <w:pPr>
              <w:spacing w:before="80" w:after="80" w:line="276" w:lineRule="auto"/>
            </w:pPr>
            <w:r>
              <w:rPr>
                <w:rFonts w:ascii="Calibri" w:hAnsi="Calibri"/>
                <w:b w:val="0"/>
                <w:i w:val="0"/>
                <w:color w:val="333333"/>
                <w:sz w:val="19"/>
              </w:rPr>
              <w:t>Regex &amp; strict keyword matches (easily manipulated by keyword stuffing).</w:t>
            </w:r>
          </w:p>
        </w:tc>
        <w:tc>
          <w:tcPr>
            <w:tcW w:type="dxa" w:w="2592"/>
            <w:shd w:fill="FFFFFF"/>
            <w:tcMar>
              <w:top w:w="100" w:type="dxa"/>
              <w:bottom w:w="100" w:type="dxa"/>
              <w:left w:w="100" w:type="dxa"/>
              <w:right w:w="100" w:type="dxa"/>
            </w:tcMar>
          </w:tcPr>
          <w:p>
            <w:pPr>
              <w:spacing w:before="80" w:after="80" w:line="276" w:lineRule="auto"/>
            </w:pPr>
            <w:r>
              <w:rPr>
                <w:rFonts w:ascii="Calibri" w:hAnsi="Calibri"/>
                <w:b w:val="0"/>
                <w:i w:val="0"/>
                <w:color w:val="333333"/>
                <w:sz w:val="19"/>
              </w:rPr>
              <w:t>TF-IDF vectors &amp; cosine similarity (statistical, word frequency-based).</w:t>
            </w:r>
          </w:p>
        </w:tc>
        <w:tc>
          <w:tcPr>
            <w:tcW w:type="dxa" w:w="2880"/>
            <w:shd w:fill="FFFFFF"/>
            <w:tcMar>
              <w:top w:w="100" w:type="dxa"/>
              <w:bottom w:w="100" w:type="dxa"/>
              <w:left w:w="100" w:type="dxa"/>
              <w:right w:w="100" w:type="dxa"/>
            </w:tcMar>
          </w:tcPr>
          <w:p>
            <w:pPr>
              <w:spacing w:before="80" w:after="80" w:line="276" w:lineRule="auto"/>
            </w:pPr>
            <w:r>
              <w:rPr>
                <w:rFonts w:ascii="Calibri" w:hAnsi="Calibri"/>
                <w:b w:val="0"/>
                <w:i w:val="0"/>
                <w:color w:val="333333"/>
                <w:sz w:val="19"/>
              </w:rPr>
              <w:t>Sentence-BERT embeddings (captures contextual meaning &amp; technology associations).</w:t>
            </w:r>
          </w:p>
        </w:tc>
      </w:tr>
      <w:tr>
        <w:tc>
          <w:tcPr>
            <w:tcW w:type="dxa" w:w="1728"/>
            <w:shd w:fill="F2F4F7"/>
            <w:tcMar>
              <w:top w:w="100" w:type="dxa"/>
              <w:bottom w:w="100" w:type="dxa"/>
              <w:left w:w="100" w:type="dxa"/>
              <w:right w:w="100" w:type="dxa"/>
            </w:tcMar>
          </w:tcPr>
          <w:p>
            <w:pPr>
              <w:spacing w:before="80" w:after="80" w:line="276" w:lineRule="auto"/>
            </w:pPr>
            <w:r>
              <w:rPr>
                <w:rFonts w:ascii="Calibri" w:hAnsi="Calibri"/>
                <w:b/>
                <w:i w:val="0"/>
                <w:color w:val="1F4E79"/>
                <w:sz w:val="19"/>
              </w:rPr>
              <w:t>Student Feedback</w:t>
            </w:r>
          </w:p>
        </w:tc>
        <w:tc>
          <w:tcPr>
            <w:tcW w:type="dxa" w:w="2592"/>
            <w:shd w:fill="F2F4F7"/>
            <w:tcMar>
              <w:top w:w="100" w:type="dxa"/>
              <w:bottom w:w="100" w:type="dxa"/>
              <w:left w:w="100" w:type="dxa"/>
              <w:right w:w="100" w:type="dxa"/>
            </w:tcMar>
          </w:tcPr>
          <w:p>
            <w:pPr>
              <w:spacing w:before="80" w:after="80" w:line="276" w:lineRule="auto"/>
            </w:pPr>
            <w:r>
              <w:rPr>
                <w:rFonts w:ascii="Calibri" w:hAnsi="Calibri"/>
                <w:b w:val="0"/>
                <w:i w:val="0"/>
                <w:color w:val="333333"/>
                <w:sz w:val="19"/>
              </w:rPr>
              <w:t>None. Purely recruiter-centric filtering tool.</w:t>
            </w:r>
          </w:p>
        </w:tc>
        <w:tc>
          <w:tcPr>
            <w:tcW w:type="dxa" w:w="2592"/>
            <w:shd w:fill="F2F4F7"/>
            <w:tcMar>
              <w:top w:w="100" w:type="dxa"/>
              <w:bottom w:w="100" w:type="dxa"/>
              <w:left w:w="100" w:type="dxa"/>
              <w:right w:w="100" w:type="dxa"/>
            </w:tcMar>
          </w:tcPr>
          <w:p>
            <w:pPr>
              <w:spacing w:before="80" w:after="80" w:line="276" w:lineRule="auto"/>
            </w:pPr>
            <w:r>
              <w:rPr>
                <w:rFonts w:ascii="Calibri" w:hAnsi="Calibri"/>
                <w:b w:val="0"/>
                <w:i w:val="0"/>
                <w:color w:val="333333"/>
                <w:sz w:val="19"/>
              </w:rPr>
              <w:t>Limited. Simple percentage matches without explanation.</w:t>
            </w:r>
          </w:p>
        </w:tc>
        <w:tc>
          <w:tcPr>
            <w:tcW w:type="dxa" w:w="2880"/>
            <w:shd w:fill="F2F4F7"/>
            <w:tcMar>
              <w:top w:w="100" w:type="dxa"/>
              <w:bottom w:w="100" w:type="dxa"/>
              <w:left w:w="100" w:type="dxa"/>
              <w:right w:w="100" w:type="dxa"/>
            </w:tcMar>
          </w:tcPr>
          <w:p>
            <w:pPr>
              <w:spacing w:before="80" w:after="80" w:line="276" w:lineRule="auto"/>
            </w:pPr>
            <w:r>
              <w:rPr>
                <w:rFonts w:ascii="Calibri" w:hAnsi="Calibri"/>
                <w:b w:val="0"/>
                <w:i w:val="0"/>
                <w:color w:val="333333"/>
                <w:sz w:val="19"/>
              </w:rPr>
              <w:t>High. Complete skill-gap analysis, missing skills matrix, and study recommendations.</w:t>
            </w:r>
          </w:p>
        </w:tc>
      </w:tr>
      <w:tr>
        <w:tc>
          <w:tcPr>
            <w:tcW w:type="dxa" w:w="1728"/>
            <w:shd w:fill="FFFFFF"/>
            <w:tcMar>
              <w:top w:w="100" w:type="dxa"/>
              <w:bottom w:w="100" w:type="dxa"/>
              <w:left w:w="100" w:type="dxa"/>
              <w:right w:w="100" w:type="dxa"/>
            </w:tcMar>
          </w:tcPr>
          <w:p>
            <w:pPr>
              <w:spacing w:before="80" w:after="80" w:line="276" w:lineRule="auto"/>
            </w:pPr>
            <w:r>
              <w:rPr>
                <w:rFonts w:ascii="Calibri" w:hAnsi="Calibri"/>
                <w:b/>
                <w:i w:val="0"/>
                <w:color w:val="1F4E79"/>
                <w:sz w:val="19"/>
              </w:rPr>
              <w:t>Interview Prep</w:t>
            </w:r>
          </w:p>
        </w:tc>
        <w:tc>
          <w:tcPr>
            <w:tcW w:type="dxa" w:w="2592"/>
            <w:shd w:fill="FFFFFF"/>
            <w:tcMar>
              <w:top w:w="100" w:type="dxa"/>
              <w:bottom w:w="100" w:type="dxa"/>
              <w:left w:w="100" w:type="dxa"/>
              <w:right w:w="100" w:type="dxa"/>
            </w:tcMar>
          </w:tcPr>
          <w:p>
            <w:pPr>
              <w:spacing w:before="80" w:after="80" w:line="276" w:lineRule="auto"/>
            </w:pPr>
            <w:r>
              <w:rPr>
                <w:rFonts w:ascii="Calibri" w:hAnsi="Calibri"/>
                <w:b w:val="0"/>
                <w:i w:val="0"/>
                <w:color w:val="333333"/>
                <w:sz w:val="19"/>
              </w:rPr>
              <w:t>None.</w:t>
            </w:r>
          </w:p>
        </w:tc>
        <w:tc>
          <w:tcPr>
            <w:tcW w:type="dxa" w:w="2592"/>
            <w:shd w:fill="FFFFFF"/>
            <w:tcMar>
              <w:top w:w="100" w:type="dxa"/>
              <w:bottom w:w="100" w:type="dxa"/>
              <w:left w:w="100" w:type="dxa"/>
              <w:right w:w="100" w:type="dxa"/>
            </w:tcMar>
          </w:tcPr>
          <w:p>
            <w:pPr>
              <w:spacing w:before="80" w:after="80" w:line="276" w:lineRule="auto"/>
            </w:pPr>
            <w:r>
              <w:rPr>
                <w:rFonts w:ascii="Calibri" w:hAnsi="Calibri"/>
                <w:b w:val="0"/>
                <w:i w:val="0"/>
                <w:color w:val="333333"/>
                <w:sz w:val="19"/>
              </w:rPr>
              <w:t>None.</w:t>
            </w:r>
          </w:p>
        </w:tc>
        <w:tc>
          <w:tcPr>
            <w:tcW w:type="dxa" w:w="2880"/>
            <w:shd w:fill="FFFFFF"/>
            <w:tcMar>
              <w:top w:w="100" w:type="dxa"/>
              <w:bottom w:w="100" w:type="dxa"/>
              <w:left w:w="100" w:type="dxa"/>
              <w:right w:w="100" w:type="dxa"/>
            </w:tcMar>
          </w:tcPr>
          <w:p>
            <w:pPr>
              <w:spacing w:before="80" w:after="80" w:line="276" w:lineRule="auto"/>
            </w:pPr>
            <w:r>
              <w:rPr>
                <w:rFonts w:ascii="Calibri" w:hAnsi="Calibri"/>
                <w:b w:val="0"/>
                <w:i w:val="0"/>
                <w:color w:val="333333"/>
                <w:sz w:val="19"/>
              </w:rPr>
              <w:t>Hyper-personalized mock interview engine powered by LLMs and RAG (Resume + JD + Alumni Experience).</w:t>
            </w:r>
          </w:p>
        </w:tc>
      </w:tr>
      <w:tr>
        <w:tc>
          <w:tcPr>
            <w:tcW w:type="dxa" w:w="1728"/>
            <w:shd w:fill="F2F4F7"/>
            <w:tcMar>
              <w:top w:w="100" w:type="dxa"/>
              <w:bottom w:w="100" w:type="dxa"/>
              <w:left w:w="100" w:type="dxa"/>
              <w:right w:w="100" w:type="dxa"/>
            </w:tcMar>
          </w:tcPr>
          <w:p>
            <w:pPr>
              <w:spacing w:before="80" w:after="80" w:line="276" w:lineRule="auto"/>
            </w:pPr>
            <w:r>
              <w:rPr>
                <w:rFonts w:ascii="Calibri" w:hAnsi="Calibri"/>
                <w:b/>
                <w:i w:val="0"/>
                <w:color w:val="1F4E79"/>
                <w:sz w:val="19"/>
              </w:rPr>
              <w:t>Policy Rules</w:t>
            </w:r>
          </w:p>
        </w:tc>
        <w:tc>
          <w:tcPr>
            <w:tcW w:type="dxa" w:w="2592"/>
            <w:shd w:fill="F2F4F7"/>
            <w:tcMar>
              <w:top w:w="100" w:type="dxa"/>
              <w:bottom w:w="100" w:type="dxa"/>
              <w:left w:w="100" w:type="dxa"/>
              <w:right w:w="100" w:type="dxa"/>
            </w:tcMar>
          </w:tcPr>
          <w:p>
            <w:pPr>
              <w:spacing w:before="80" w:after="80" w:line="276" w:lineRule="auto"/>
            </w:pPr>
            <w:r>
              <w:rPr>
                <w:rFonts w:ascii="Calibri" w:hAnsi="Calibri"/>
                <w:b w:val="0"/>
                <w:i w:val="0"/>
                <w:color w:val="333333"/>
                <w:sz w:val="19"/>
              </w:rPr>
              <w:t>None. Handled manually via Excel sheets.</w:t>
            </w:r>
          </w:p>
        </w:tc>
        <w:tc>
          <w:tcPr>
            <w:tcW w:type="dxa" w:w="2592"/>
            <w:shd w:fill="F2F4F7"/>
            <w:tcMar>
              <w:top w:w="100" w:type="dxa"/>
              <w:bottom w:w="100" w:type="dxa"/>
              <w:left w:w="100" w:type="dxa"/>
              <w:right w:w="100" w:type="dxa"/>
            </w:tcMar>
          </w:tcPr>
          <w:p>
            <w:pPr>
              <w:spacing w:before="80" w:after="80" w:line="276" w:lineRule="auto"/>
            </w:pPr>
            <w:r>
              <w:rPr>
                <w:rFonts w:ascii="Calibri" w:hAnsi="Calibri"/>
                <w:b w:val="0"/>
                <w:i w:val="0"/>
                <w:color w:val="333333"/>
                <w:sz w:val="19"/>
              </w:rPr>
              <w:t>Simple filters (e.g. CGPA thresholds, backlog limiters).</w:t>
            </w:r>
          </w:p>
        </w:tc>
        <w:tc>
          <w:tcPr>
            <w:tcW w:type="dxa" w:w="2880"/>
            <w:shd w:fill="F2F4F7"/>
            <w:tcMar>
              <w:top w:w="100" w:type="dxa"/>
              <w:bottom w:w="100" w:type="dxa"/>
              <w:left w:w="100" w:type="dxa"/>
              <w:right w:w="100" w:type="dxa"/>
            </w:tcMar>
          </w:tcPr>
          <w:p>
            <w:pPr>
              <w:spacing w:before="80" w:after="80" w:line="276" w:lineRule="auto"/>
            </w:pPr>
            <w:r>
              <w:rPr>
                <w:rFonts w:ascii="Calibri" w:hAnsi="Calibri"/>
                <w:b w:val="0"/>
                <w:i w:val="0"/>
                <w:color w:val="333333"/>
                <w:sz w:val="19"/>
              </w:rPr>
              <w:t>Dynamic IIT-style workflow engine (One-Student-One-Job, automatic deregistration).</w:t>
            </w:r>
          </w:p>
        </w:tc>
      </w:tr>
      <w:tr>
        <w:tc>
          <w:tcPr>
            <w:tcW w:type="dxa" w:w="1728"/>
            <w:shd w:fill="FFFFFF"/>
            <w:tcMar>
              <w:top w:w="100" w:type="dxa"/>
              <w:bottom w:w="100" w:type="dxa"/>
              <w:left w:w="100" w:type="dxa"/>
              <w:right w:w="100" w:type="dxa"/>
            </w:tcMar>
          </w:tcPr>
          <w:p>
            <w:pPr>
              <w:spacing w:before="80" w:after="80" w:line="276" w:lineRule="auto"/>
            </w:pPr>
            <w:r>
              <w:rPr>
                <w:rFonts w:ascii="Calibri" w:hAnsi="Calibri"/>
                <w:b/>
                <w:i w:val="0"/>
                <w:color w:val="1F4E79"/>
                <w:sz w:val="19"/>
              </w:rPr>
              <w:t>Scheduling</w:t>
            </w:r>
          </w:p>
        </w:tc>
        <w:tc>
          <w:tcPr>
            <w:tcW w:type="dxa" w:w="2592"/>
            <w:shd w:fill="FFFFFF"/>
            <w:tcMar>
              <w:top w:w="100" w:type="dxa"/>
              <w:bottom w:w="100" w:type="dxa"/>
              <w:left w:w="100" w:type="dxa"/>
              <w:right w:w="100" w:type="dxa"/>
            </w:tcMar>
          </w:tcPr>
          <w:p>
            <w:pPr>
              <w:spacing w:before="80" w:after="80" w:line="276" w:lineRule="auto"/>
            </w:pPr>
            <w:r>
              <w:rPr>
                <w:rFonts w:ascii="Calibri" w:hAnsi="Calibri"/>
                <w:b w:val="0"/>
                <w:i w:val="0"/>
                <w:color w:val="333333"/>
                <w:sz w:val="19"/>
              </w:rPr>
              <w:t>None.</w:t>
            </w:r>
          </w:p>
        </w:tc>
        <w:tc>
          <w:tcPr>
            <w:tcW w:type="dxa" w:w="2592"/>
            <w:shd w:fill="FFFFFF"/>
            <w:tcMar>
              <w:top w:w="100" w:type="dxa"/>
              <w:bottom w:w="100" w:type="dxa"/>
              <w:left w:w="100" w:type="dxa"/>
              <w:right w:w="100" w:type="dxa"/>
            </w:tcMar>
          </w:tcPr>
          <w:p>
            <w:pPr>
              <w:spacing w:before="80" w:after="80" w:line="276" w:lineRule="auto"/>
            </w:pPr>
            <w:r>
              <w:rPr>
                <w:rFonts w:ascii="Calibri" w:hAnsi="Calibri"/>
                <w:b w:val="0"/>
                <w:i w:val="0"/>
                <w:color w:val="333333"/>
                <w:sz w:val="19"/>
              </w:rPr>
              <w:t>Manual calendar slot bookings.</w:t>
            </w:r>
          </w:p>
        </w:tc>
        <w:tc>
          <w:tcPr>
            <w:tcW w:type="dxa" w:w="2880"/>
            <w:shd w:fill="FFFFFF"/>
            <w:tcMar>
              <w:top w:w="100" w:type="dxa"/>
              <w:bottom w:w="100" w:type="dxa"/>
              <w:left w:w="100" w:type="dxa"/>
              <w:right w:w="100" w:type="dxa"/>
            </w:tcMar>
          </w:tcPr>
          <w:p>
            <w:pPr>
              <w:spacing w:before="80" w:after="80" w:line="276" w:lineRule="auto"/>
            </w:pPr>
            <w:r>
              <w:rPr>
                <w:rFonts w:ascii="Calibri" w:hAnsi="Calibri"/>
                <w:b w:val="0"/>
                <w:i w:val="0"/>
                <w:color w:val="333333"/>
                <w:sz w:val="19"/>
              </w:rPr>
              <w:t>Automated Interview Slotting &amp; conflict resolution engine for recruiters and students.</w:t>
            </w:r>
          </w:p>
        </w:tc>
      </w:tr>
    </w:tbl>
    <w:p>
      <w:pPr>
        <w:spacing w:before="0" w:after="240" w:line="276" w:lineRule="auto"/>
        <w:jc w:val="left"/>
      </w:pPr>
    </w:p>
    <w:p>
      <w:pPr>
        <w:spacing w:before="360" w:after="120" w:line="276" w:lineRule="auto"/>
        <w:jc w:val="left"/>
      </w:pPr>
      <w:r>
        <w:rPr>
          <w:rFonts w:ascii="Calibri" w:hAnsi="Calibri"/>
          <w:b/>
          <w:i w:val="0"/>
          <w:color w:val="1F4E79"/>
          <w:sz w:val="32"/>
        </w:rPr>
        <w:t>4. Gap Analysis &amp; Problem Identification</w:t>
      </w:r>
    </w:p>
    <w:p>
      <w:pPr>
        <w:spacing w:before="0" w:after="120" w:line="276" w:lineRule="auto"/>
        <w:jc w:val="left"/>
      </w:pPr>
      <w:r>
        <w:rPr>
          <w:rFonts w:ascii="Calibri" w:hAnsi="Calibri"/>
          <w:b w:val="0"/>
          <w:i w:val="0"/>
          <w:color w:val="333333"/>
          <w:sz w:val="22"/>
        </w:rPr>
        <w:t>A systematic review of current commercial tools and existing academic literature reveals several critical gaps, which the proposed Smart Career Portal aims to bridge:</w:t>
      </w:r>
    </w:p>
    <w:p>
      <w:pPr>
        <w:pStyle w:val="ListBullet"/>
        <w:spacing w:after="80" w:line="276" w:lineRule="auto"/>
      </w:pPr>
      <w:r>
        <w:rPr>
          <w:rFonts w:ascii="Calibri" w:hAnsi="Calibri"/>
          <w:b/>
          <w:i w:val="0"/>
          <w:color w:val="2F5597"/>
          <w:sz w:val="22"/>
        </w:rPr>
        <w:t xml:space="preserve">Recruiter-Centricity vs. Student Empowerment: </w:t>
      </w:r>
      <w:r>
        <w:rPr>
          <w:rFonts w:ascii="Calibri" w:hAnsi="Calibri"/>
          <w:b w:val="0"/>
          <w:i w:val="0"/>
          <w:color w:val="333333"/>
          <w:sz w:val="22"/>
        </w:rPr>
        <w:t>Existing ATS software and screening platforms are designed exclusively for recruiters to filter out applicants. Students remain passive data points in the system, receiving no feedback on why they were rejected or how they can improve their skills to align with the market.</w:t>
      </w:r>
    </w:p>
    <w:p>
      <w:pPr>
        <w:pStyle w:val="ListBullet"/>
        <w:spacing w:after="80" w:line="276" w:lineRule="auto"/>
      </w:pPr>
      <w:r>
        <w:rPr>
          <w:rFonts w:ascii="Calibri" w:hAnsi="Calibri"/>
          <w:b/>
          <w:i w:val="0"/>
          <w:color w:val="2F5597"/>
          <w:sz w:val="22"/>
        </w:rPr>
        <w:t xml:space="preserve">Semantic and Contextual Blindness: </w:t>
      </w:r>
      <w:r>
        <w:rPr>
          <w:rFonts w:ascii="Calibri" w:hAnsi="Calibri"/>
          <w:b w:val="0"/>
          <w:i w:val="0"/>
          <w:color w:val="333333"/>
          <w:sz w:val="22"/>
        </w:rPr>
        <w:t>Many campus recruitment databases still utilize keyword matching or basic statistical frequency algorithms (TF-IDF). These systems penalize students who phrase their skills differently than the job description, leading to high false-rejection rates for qualified candidates.</w:t>
      </w:r>
    </w:p>
    <w:p>
      <w:pPr>
        <w:pStyle w:val="ListBullet"/>
        <w:spacing w:after="80" w:line="276" w:lineRule="auto"/>
      </w:pPr>
      <w:r>
        <w:rPr>
          <w:rFonts w:ascii="Calibri" w:hAnsi="Calibri"/>
          <w:b/>
          <w:i w:val="0"/>
          <w:color w:val="2F5597"/>
          <w:sz w:val="22"/>
        </w:rPr>
        <w:t xml:space="preserve">Disconnected Career Preparation: </w:t>
      </w:r>
      <w:r>
        <w:rPr>
          <w:rFonts w:ascii="Calibri" w:hAnsi="Calibri"/>
          <w:b w:val="0"/>
          <w:i w:val="0"/>
          <w:color w:val="333333"/>
          <w:sz w:val="22"/>
        </w:rPr>
        <w:t>Career preparation (e.g., mock interviews) and placement tracking operate in separate silos. Students prepare using generic question banks, which are not aligned with their specific resume gaps or the targeted company's historical requirements.</w:t>
      </w:r>
    </w:p>
    <w:p>
      <w:pPr>
        <w:pStyle w:val="ListBullet"/>
        <w:spacing w:after="80" w:line="276" w:lineRule="auto"/>
      </w:pPr>
      <w:r>
        <w:rPr>
          <w:rFonts w:ascii="Calibri" w:hAnsi="Calibri"/>
          <w:b/>
          <w:i w:val="0"/>
          <w:color w:val="2F5597"/>
          <w:sz w:val="22"/>
        </w:rPr>
        <w:t xml:space="preserve">Lack of Integrated Institutional Placement Workflows: </w:t>
      </w:r>
      <w:r>
        <w:rPr>
          <w:rFonts w:ascii="Calibri" w:hAnsi="Calibri"/>
          <w:b w:val="0"/>
          <w:i w:val="0"/>
          <w:color w:val="333333"/>
          <w:sz w:val="22"/>
        </w:rPr>
        <w:t>Commercial recruitment products fail to handle complex college policies like "One-Student-One-Job" guidelines or automated slot scheduling during peak multi-company recruitment weeks, requiring manual administrative workarounds in Excel.</w:t>
      </w:r>
    </w:p>
    <w:p>
      <w:pPr>
        <w:spacing w:after="240"/>
      </w:pPr>
    </w:p>
    <w:p>
      <w:pPr>
        <w:spacing w:before="360" w:after="120" w:line="276" w:lineRule="auto"/>
        <w:jc w:val="left"/>
      </w:pPr>
      <w:r>
        <w:rPr>
          <w:rFonts w:ascii="Calibri" w:hAnsi="Calibri"/>
          <w:b/>
          <w:i w:val="0"/>
          <w:color w:val="1F4E79"/>
          <w:sz w:val="32"/>
        </w:rPr>
        <w:t>5. Proposed Methodology &amp; Architecture</w:t>
      </w:r>
    </w:p>
    <w:p>
      <w:pPr>
        <w:spacing w:before="0" w:after="120" w:line="276" w:lineRule="auto"/>
        <w:jc w:val="left"/>
      </w:pPr>
      <w:r>
        <w:rPr>
          <w:rFonts w:ascii="Calibri" w:hAnsi="Calibri"/>
          <w:b w:val="0"/>
          <w:i w:val="0"/>
          <w:color w:val="333333"/>
          <w:sz w:val="22"/>
        </w:rPr>
        <w:t>The proposed Smart Career Portal addresses these gaps through an integrated 3-tier architecture. The front-end client is built with Next.js (React) to provide a responsive dashboard for students, recruiters, and administrators. The central API gateway is implemented using Node.js and Express.js, connecting to a MongoDB database. This layer handles security, authentication, and core transactional workflows (e.g., job postings, candidate registration). AI capabilities are isolated into a dedicated high-performance Python microservice running FastAPI, which performs intensive text processing, similarity calculations, and LLM orchestration.</w:t>
      </w:r>
    </w:p>
    <w:p>
      <w:pPr>
        <w:spacing w:before="0" w:after="80" w:line="276" w:lineRule="auto"/>
        <w:jc w:val="left"/>
      </w:pPr>
      <w:r>
        <w:rPr>
          <w:rFonts w:ascii="Calibri" w:hAnsi="Calibri"/>
          <w:b w:val="0"/>
          <w:i w:val="0"/>
          <w:color w:val="333333"/>
          <w:sz w:val="22"/>
        </w:rPr>
        <w:t>The workflow consists of three primary automated engines:</w:t>
      </w:r>
    </w:p>
    <w:p>
      <w:pPr>
        <w:pStyle w:val="ListBullet"/>
        <w:spacing w:after="80" w:line="276" w:lineRule="auto"/>
      </w:pPr>
      <w:r>
        <w:rPr>
          <w:rFonts w:ascii="Calibri" w:hAnsi="Calibri"/>
          <w:b/>
          <w:i w:val="0"/>
          <w:color w:val="2F5597"/>
          <w:sz w:val="22"/>
        </w:rPr>
        <w:t xml:space="preserve">Two-Tier Shortlisting Engine: </w:t>
      </w:r>
      <w:r>
        <w:rPr>
          <w:rFonts w:ascii="Calibri" w:hAnsi="Calibri"/>
          <w:b w:val="0"/>
          <w:i w:val="0"/>
          <w:color w:val="333333"/>
          <w:sz w:val="22"/>
        </w:rPr>
        <w:t>First, the system applies hard eligibility checks (e.g., filtering out candidates below minimum CGPA or with active backlogs). Second, the system runs candidate resumes and the job description through the Python Sentence-Transformers engine, calculating a semantic similarity score. Instead of a global ranking, this score is dynamic and job-specific.</w:t>
      </w:r>
    </w:p>
    <w:p>
      <w:pPr>
        <w:pStyle w:val="ListBullet"/>
        <w:spacing w:after="80" w:line="276" w:lineRule="auto"/>
      </w:pPr>
      <w:r>
        <w:rPr>
          <w:rFonts w:ascii="Calibri" w:hAnsi="Calibri"/>
          <w:b/>
          <w:i w:val="0"/>
          <w:color w:val="2F5597"/>
          <w:sz w:val="22"/>
        </w:rPr>
        <w:t xml:space="preserve">RAG-Driven Mock Interview Copilot: </w:t>
      </w:r>
      <w:r>
        <w:rPr>
          <w:rFonts w:ascii="Calibri" w:hAnsi="Calibri"/>
          <w:b w:val="0"/>
          <w:i w:val="0"/>
          <w:color w:val="333333"/>
          <w:sz w:val="22"/>
        </w:rPr>
        <w:t>Once a candidate's similarity score is generated, the system computes the exact "skill delta" (missing keywords/concepts). It retrieves historical interview records from the Alumni feedback database and feeds this context along with the JD and candidate resume into a Large Language Model via FastAPI, generating custom-tailored technical questions for student practice.</w:t>
      </w:r>
    </w:p>
    <w:p>
      <w:pPr>
        <w:pStyle w:val="ListBullet"/>
        <w:spacing w:after="80" w:line="276" w:lineRule="auto"/>
      </w:pPr>
      <w:r>
        <w:rPr>
          <w:rFonts w:ascii="Calibri" w:hAnsi="Calibri"/>
          <w:b/>
          <w:i w:val="0"/>
          <w:color w:val="2F5597"/>
          <w:sz w:val="22"/>
        </w:rPr>
        <w:t xml:space="preserve">IIT-Style Workflow &amp; Slotting Scheduler: </w:t>
      </w:r>
      <w:r>
        <w:rPr>
          <w:rFonts w:ascii="Calibri" w:hAnsi="Calibri"/>
          <w:b w:val="0"/>
          <w:i w:val="0"/>
          <w:color w:val="333333"/>
          <w:sz w:val="22"/>
        </w:rPr>
        <w:t>The backend automatically tracks student offers. When a candidate accepts an offer, the system triggers real-time deregistration across other registered roles. To handle Day 1 scheduling conflicts, the slotting algorithm executes an interval-scheduling conflict check, ensuring students are assigned non-overlapping time slots based on company requirements.</w:t>
      </w:r>
    </w:p>
    <w:p>
      <w:pPr>
        <w:spacing w:after="240"/>
      </w:pPr>
    </w:p>
    <w:p>
      <w:pPr>
        <w:spacing w:before="360" w:after="120" w:line="276" w:lineRule="auto"/>
        <w:jc w:val="left"/>
      </w:pPr>
      <w:r>
        <w:rPr>
          <w:rFonts w:ascii="Calibri" w:hAnsi="Calibri"/>
          <w:b/>
          <w:i w:val="0"/>
          <w:color w:val="1F4E79"/>
          <w:sz w:val="32"/>
        </w:rPr>
        <w:t>6. References</w:t>
      </w:r>
    </w:p>
    <w:p>
      <w:pPr>
        <w:spacing w:before="0" w:after="120" w:line="276" w:lineRule="auto"/>
        <w:jc w:val="left"/>
      </w:pPr>
      <w:r>
        <w:rPr>
          <w:rFonts w:ascii="Calibri" w:hAnsi="Calibri"/>
          <w:b w:val="0"/>
          <w:i w:val="0"/>
          <w:color w:val="333333"/>
          <w:sz w:val="20"/>
        </w:rPr>
        <w:t xml:space="preserve">[1] Reimers, N., &amp; Gurevych, I. (2019). Sentence-BERT: Sentence Embeddings using Siamese BERT-Networks. In Proceedings of the 2019 Conference on Empirical Methods in Natural Language Processing. </w:t>
      </w:r>
      <w:hyperlink r:id="rId11">
        <w:r>
          <w:rPr>
            <w:color w:val="2F5597"/>
            <w:u w:val="single"/>
            <w:rFonts w:ascii="Calibri" w:hAnsi="Calibri"/>
          </w:rPr>
          <w:t>[PDF Link]</w:t>
        </w:r>
      </w:hyperlink>
    </w:p>
    <w:p>
      <w:pPr>
        <w:spacing w:before="0" w:after="120" w:line="276" w:lineRule="auto"/>
        <w:jc w:val="left"/>
      </w:pPr>
      <w:r>
        <w:rPr>
          <w:rFonts w:ascii="Calibri" w:hAnsi="Calibri"/>
          <w:b w:val="0"/>
          <w:i w:val="0"/>
          <w:color w:val="333333"/>
          <w:sz w:val="20"/>
        </w:rPr>
        <w:t xml:space="preserve">[2] Schmucker, C. (2021). conSultantBERT: Fine-tuned Siamese Sentence-BERT for Matching Jobs and Job Seekers. arXiv preprint. </w:t>
      </w:r>
      <w:hyperlink r:id="rId12">
        <w:r>
          <w:rPr>
            <w:color w:val="2F5597"/>
            <w:u w:val="single"/>
            <w:rFonts w:ascii="Calibri" w:hAnsi="Calibri"/>
          </w:rPr>
          <w:t>[PDF Link]</w:t>
        </w:r>
      </w:hyperlink>
    </w:p>
    <w:p>
      <w:pPr>
        <w:spacing w:before="0" w:after="120" w:line="276" w:lineRule="auto"/>
        <w:jc w:val="left"/>
      </w:pPr>
      <w:r>
        <w:rPr>
          <w:rFonts w:ascii="Calibri" w:hAnsi="Calibri"/>
          <w:b w:val="0"/>
          <w:i w:val="0"/>
          <w:color w:val="333333"/>
          <w:sz w:val="20"/>
        </w:rPr>
        <w:t xml:space="preserve">[3] Aumüller, M., et al. (2025). CareerBERT: Matching Resumes to ESCO Jobs in a Shared Embedding Space for Generic Job Recommendations. arXiv preprint. </w:t>
      </w:r>
      <w:hyperlink r:id="rId13">
        <w:r>
          <w:rPr>
            <w:color w:val="2F5597"/>
            <w:u w:val="single"/>
            <w:rFonts w:ascii="Calibri" w:hAnsi="Calibri"/>
          </w:rPr>
          <w:t>[PDF Link]</w:t>
        </w:r>
      </w:hyperlink>
    </w:p>
    <w:p>
      <w:pPr>
        <w:spacing w:before="0" w:after="120" w:line="276" w:lineRule="auto"/>
        <w:jc w:val="left"/>
      </w:pPr>
      <w:r>
        <w:rPr>
          <w:rFonts w:ascii="Calibri" w:hAnsi="Calibri"/>
          <w:b w:val="0"/>
          <w:i w:val="0"/>
          <w:color w:val="333333"/>
          <w:sz w:val="20"/>
        </w:rPr>
        <w:t xml:space="preserve">[4] Kopparapu, S. K. (2019). End-to-End Resume Parsing and Finding Candidates for a Job Description using BERT. TCS Research Publication. </w:t>
      </w:r>
      <w:hyperlink r:id="rId14">
        <w:r>
          <w:rPr>
            <w:color w:val="2F5597"/>
            <w:u w:val="single"/>
            <w:rFonts w:ascii="Calibri" w:hAnsi="Calibri"/>
          </w:rPr>
          <w:t>[PDF Link]</w:t>
        </w:r>
      </w:hyperlink>
    </w:p>
    <w:p>
      <w:pPr>
        <w:spacing w:before="0" w:after="120" w:line="276" w:lineRule="auto"/>
        <w:jc w:val="left"/>
      </w:pPr>
      <w:r>
        <w:rPr>
          <w:rFonts w:ascii="Calibri" w:hAnsi="Calibri"/>
          <w:b w:val="0"/>
          <w:i w:val="0"/>
          <w:color w:val="333333"/>
          <w:sz w:val="20"/>
        </w:rPr>
        <w:t xml:space="preserve">[5] Lewis, P., et al. (2020). Retrieval-Augmented Generation for Knowledge-Intensive NLP Tasks. In Advances in Neural Information Processing Systems. </w:t>
      </w:r>
      <w:hyperlink r:id="rId15">
        <w:r>
          <w:rPr>
            <w:color w:val="2F5597"/>
            <w:u w:val="single"/>
            <w:rFonts w:ascii="Calibri" w:hAnsi="Calibri"/>
          </w:rPr>
          <w:t>[PDF Link]</w:t>
        </w:r>
      </w:hyperlink>
    </w:p>
    <w:p>
      <w:pPr>
        <w:spacing w:before="0" w:after="120" w:line="276" w:lineRule="auto"/>
        <w:jc w:val="left"/>
      </w:pPr>
      <w:r>
        <w:rPr>
          <w:rFonts w:ascii="Calibri" w:hAnsi="Calibri"/>
          <w:b w:val="0"/>
          <w:i w:val="0"/>
          <w:color w:val="333333"/>
          <w:sz w:val="20"/>
        </w:rPr>
        <w:t xml:space="preserve">[6] Patil, A. A., et al. (2020). Web-Based Placement Portal. International Research Journal of Engineering and Technology (IRJET), 7(4). </w:t>
      </w:r>
      <w:hyperlink r:id="rId16">
        <w:r>
          <w:rPr>
            <w:color w:val="2F5597"/>
            <w:u w:val="single"/>
            <w:rFonts w:ascii="Calibri" w:hAnsi="Calibri"/>
          </w:rPr>
          <w:t>[PDF Link]</w:t>
        </w:r>
      </w:hyperlink>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color w:val="808080"/>
        <w:sz w:val="18"/>
      </w:rPr>
      <w:t xml:space="preserve">Smart Career Portal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color w:val="808080"/>
        <w:sz w:val="18"/>
      </w:rPr>
      <w:t>Major Project (BIS785) | Literature Survey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1908.10084.pdf" TargetMode="External"/><Relationship Id="rId12" Type="http://schemas.openxmlformats.org/officeDocument/2006/relationships/hyperlink" Target="https://arxiv.org/pdf/2109.06501.pdf" TargetMode="External"/><Relationship Id="rId13" Type="http://schemas.openxmlformats.org/officeDocument/2006/relationships/hyperlink" Target="https://arxiv.org/pdf/2503.01633.pdf" TargetMode="External"/><Relationship Id="rId14" Type="http://schemas.openxmlformats.org/officeDocument/2006/relationships/hyperlink" Target="https://arxiv.org/pdf/1910.03089.pdf" TargetMode="External"/><Relationship Id="rId15" Type="http://schemas.openxmlformats.org/officeDocument/2006/relationships/hyperlink" Target="https://arxiv.org/pdf/2005.11401.pdf" TargetMode="External"/><Relationship Id="rId16" Type="http://schemas.openxmlformats.org/officeDocument/2006/relationships/hyperlink" Target="https://www.irjet.net/archives/V7/i4/IRJET-V7I426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