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版本：v1.0　生效日期：2026-08-26　文档编号：QC-001　维护：示例跨境电商公司</w:t>
      </w:r>
    </w:p>
    <w:p/>
    <w:p>
      <w:pPr>
        <w:pStyle w:val="Title"/>
      </w:pPr>
      <w:r>
        <w:t>示例跨境电商公司 入库质检标准作业程序（SOP）</w:t>
      </w:r>
    </w:p>
    <w:p>
      <w:r>
        <w:t>【仅供测试 · 内容虚构】</w:t>
      </w:r>
    </w:p>
    <w:p>
      <w:pPr>
        <w:pStyle w:val="Heading1"/>
      </w:pPr>
      <w:r>
        <w:t>一、目的</w:t>
      </w:r>
    </w:p>
    <w:p>
      <w:r>
        <w:t>规范跨境商品入库质检流程，确保上架商品符合质量与合规要求，降低售后退货与客诉风险。</w:t>
      </w:r>
    </w:p>
    <w:p>
      <w:pPr>
        <w:pStyle w:val="Heading1"/>
      </w:pPr>
      <w:r>
        <w:t>二、适用范围</w:t>
      </w:r>
    </w:p>
    <w:p>
      <w:r>
        <w:t>适用于示例跨境电商公司所有自营及代发商品的入库质检，含境内仓与海外仓。</w:t>
      </w:r>
    </w:p>
    <w:p>
      <w:pPr>
        <w:pStyle w:val="Heading1"/>
      </w:pPr>
      <w:r>
        <w:t>三、抽检比例（AQL）</w:t>
      </w:r>
    </w:p>
    <w:p>
      <w:r>
        <w:t>一般商品按 GB/T 2828.1 正常检验二级水准，AQL=2.5；高价值或易损商品加严至 AQL=1.0；大批量到货首批全检，后续转常规抽检。</w:t>
      </w:r>
    </w:p>
    <w:p>
      <w:pPr>
        <w:pStyle w:val="Heading1"/>
      </w:pPr>
      <w:r>
        <w:t>四、检验项目</w:t>
      </w:r>
    </w:p>
    <w:p>
      <w:r>
        <w:t>外观：划痕、变形、色差、污渍；</w:t>
      </w:r>
    </w:p>
    <w:p>
      <w:r>
        <w:t>功能：通电 / 试用核心功能正常；</w:t>
      </w:r>
    </w:p>
    <w:p>
      <w:r>
        <w:t>标签：含 CE / FCC 标识、HS 编码、中文说明（如适用）；</w:t>
      </w:r>
    </w:p>
    <w:p>
      <w:r>
        <w:t>配件：说明书、保修卡、适配器齐全。</w:t>
      </w:r>
    </w:p>
    <w:p>
      <w:pPr>
        <w:pStyle w:val="Heading1"/>
      </w:pPr>
      <w:r>
        <w:t>五、合格判定</w:t>
      </w:r>
    </w:p>
    <w:p>
      <w:r>
        <w:t>批次不合格率 ≤ 5% 整批通过；&gt; 5% 整批拒收或要求换货。</w:t>
      </w:r>
    </w:p>
    <w:p>
      <w:pPr>
        <w:pStyle w:val="Heading1"/>
      </w:pPr>
      <w:r>
        <w:t>六、不合格品处理</w:t>
      </w:r>
    </w:p>
    <w:p>
      <w:r>
        <w:t>隔离：移至不合格品区并贴红标；</w:t>
      </w:r>
    </w:p>
    <w:p>
      <w:r>
        <w:t>通知：30 分钟内通知采购部；</w:t>
      </w:r>
    </w:p>
    <w:p>
      <w:r>
        <w:t>响应：供应商须在 48 小时内响应；</w:t>
      </w:r>
    </w:p>
    <w:p>
      <w:r>
        <w:t>处置：退 / 换 / 返工，返工后按原比例复检。</w:t>
      </w:r>
    </w:p>
    <w:p>
      <w:pPr>
        <w:pStyle w:val="Heading1"/>
      </w:pPr>
      <w:r>
        <w:t>七、记录与归档</w:t>
      </w:r>
    </w:p>
    <w:p>
      <w:r>
        <w:t>质检单（含抽检数、不合格项、处置结果）归档保存 2 年，供追溯与供应商考核使用。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