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版本说明:本制度 V2.3 于 2024-01-01 生效,替代 V2.2。SENTINEL-PREAMBLE-001</w:t>
      </w:r>
    </w:p>
    <w:p>
      <w:r>
        <w:t>适用范围:全体正式员工与实习生。</w:t>
      </w:r>
    </w:p>
    <w:p>
      <w:r>
        <w:t>修订记录:新增远程办公章节。</w:t>
      </w:r>
    </w:p>
    <w:p>
      <w:pPr>
        <w:pStyle w:val="Heading1"/>
      </w:pPr>
      <w:r>
        <w:t>第1章 示例章节1</w:t>
      </w:r>
    </w:p>
    <w:p>
      <w:r>
        <w:t>离职员工须在最后工作日前完成工作交接并归还全部公司资产。加班需事先申请,经部门负责人确认后计入调休或加班费。出差期间的住宿与交通标准按职级执行,超标部分由个人承担。设备领用与归还须登记,遗失或损坏按资产管理办法处理。设备领用与归还须登记,遗失或损坏按资产管理办法处理。涉及客户数据的操作必须留痕,严禁私自导出或外传。</w:t>
      </w:r>
    </w:p>
    <w:p>
      <w:pPr>
        <w:pStyle w:val="Heading1"/>
      </w:pPr>
      <w:r>
        <w:t>第2章 示例章节2</w:t>
      </w:r>
    </w:p>
    <w:p>
      <w:r>
        <w:t>设备领用与归还须登记,遗失或损坏按资产管理办法处理。信息安全事件应在发现后一小时内上报安全负责人。报销单据须在费用发生后三十日内提交,逾期不予受理。出差期间的住宿与交通标准按职级执行,超标部分由个人承担。涉及客户数据的操作必须留痕,严禁私自导出或外传。部门例会每周一次,会议纪要须在会后一个工作日内发出。</w:t>
      </w:r>
    </w:p>
    <w:p>
      <w:pPr>
        <w:pStyle w:val="Heading1"/>
      </w:pPr>
      <w:r>
        <w:t>第3章 示例章节3</w:t>
      </w:r>
    </w:p>
    <w:p>
      <w:r>
        <w:t>信息安全事件应在发现后一小时内上报安全负责人。离职员工须在最后工作日前完成工作交接并归还全部公司资产。报销单据须在费用发生后三十日内提交,逾期不予受理。请假须提前在系统中提交申请,并经直属上级审批后方可生效。加班需事先申请,经部门负责人确认后计入调休或加班费。出差期间的住宿与交通标准按职级执行,超标部分由个人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